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F7" w:rsidRPr="00C633AD" w:rsidRDefault="00F40CF7">
      <w:pPr>
        <w:rPr>
          <w:lang w:val="uk-UA"/>
        </w:rPr>
      </w:pP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52"/>
        <w:gridCol w:w="5373"/>
      </w:tblGrid>
      <w:tr w:rsidR="00F40CF7" w:rsidRPr="00C633AD">
        <w:trPr>
          <w:trHeight w:val="215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F40CF7">
            <w:pPr>
              <w:spacing w:before="160" w:after="320"/>
              <w:rPr>
                <w:b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160" w:after="320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b/>
                <w:color w:val="333333"/>
                <w:sz w:val="24"/>
                <w:szCs w:val="24"/>
                <w:lang w:val="uk-UA"/>
              </w:rPr>
              <w:t>ЗАТВЕРДЖЕНО</w:t>
            </w:r>
          </w:p>
          <w:p w:rsidR="00F40CF7" w:rsidRPr="00C633AD" w:rsidRDefault="002F48FE">
            <w:pPr>
              <w:spacing w:before="160" w:after="320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b/>
                <w:color w:val="333333"/>
                <w:sz w:val="24"/>
                <w:szCs w:val="24"/>
                <w:lang w:val="uk-UA"/>
              </w:rPr>
              <w:t>постановою Кабінету Міністрів України</w:t>
            </w:r>
          </w:p>
          <w:p w:rsidR="00F40CF7" w:rsidRPr="00C633AD" w:rsidRDefault="002F48FE">
            <w:pPr>
              <w:spacing w:before="160" w:after="320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b/>
                <w:color w:val="333333"/>
                <w:sz w:val="24"/>
                <w:szCs w:val="24"/>
                <w:lang w:val="uk-UA"/>
              </w:rPr>
              <w:t>від 28 грудня 2000 р. № 1921</w:t>
            </w:r>
          </w:p>
          <w:p w:rsidR="00F40CF7" w:rsidRPr="00C633AD" w:rsidRDefault="002F48FE">
            <w:pPr>
              <w:spacing w:before="160" w:after="320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b/>
                <w:color w:val="333333"/>
                <w:sz w:val="24"/>
                <w:szCs w:val="24"/>
                <w:lang w:val="uk-UA"/>
              </w:rPr>
              <w:t>(в редакції постанови Кабінету Міністрів України</w:t>
            </w:r>
          </w:p>
          <w:p w:rsidR="00F40CF7" w:rsidRPr="00C633AD" w:rsidRDefault="002F48FE">
            <w:pPr>
              <w:spacing w:before="160" w:after="320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b/>
                <w:color w:val="333333"/>
                <w:sz w:val="24"/>
                <w:szCs w:val="24"/>
                <w:lang w:val="uk-UA"/>
              </w:rPr>
              <w:t>від 17 червня 2015 р. № 405)</w:t>
            </w:r>
          </w:p>
        </w:tc>
      </w:tr>
    </w:tbl>
    <w:p w:rsidR="00F40CF7" w:rsidRPr="00C633AD" w:rsidRDefault="002F48FE">
      <w:pPr>
        <w:shd w:val="clear" w:color="auto" w:fill="FFFFFF"/>
        <w:spacing w:before="300" w:after="460"/>
        <w:ind w:left="460" w:right="460"/>
        <w:jc w:val="center"/>
        <w:rPr>
          <w:b/>
          <w:color w:val="333333"/>
          <w:sz w:val="32"/>
          <w:szCs w:val="32"/>
          <w:lang w:val="uk-UA"/>
        </w:rPr>
      </w:pPr>
      <w:r w:rsidRPr="00C633AD">
        <w:rPr>
          <w:b/>
          <w:color w:val="333333"/>
          <w:sz w:val="32"/>
          <w:szCs w:val="32"/>
          <w:lang w:val="uk-UA"/>
        </w:rPr>
        <w:t>ПОЛОЖЕННЯ</w:t>
      </w:r>
    </w:p>
    <w:p w:rsidR="00F40CF7" w:rsidRPr="00C633AD" w:rsidRDefault="002F48FE">
      <w:pPr>
        <w:shd w:val="clear" w:color="auto" w:fill="FFFFFF"/>
        <w:spacing w:before="300" w:after="460"/>
        <w:ind w:left="460" w:right="460"/>
        <w:jc w:val="center"/>
        <w:rPr>
          <w:b/>
          <w:color w:val="333333"/>
          <w:sz w:val="32"/>
          <w:szCs w:val="32"/>
          <w:lang w:val="uk-UA"/>
        </w:rPr>
      </w:pPr>
      <w:r w:rsidRPr="00C633AD">
        <w:rPr>
          <w:b/>
          <w:color w:val="333333"/>
          <w:sz w:val="32"/>
          <w:szCs w:val="32"/>
          <w:lang w:val="uk-UA"/>
        </w:rPr>
        <w:t>про військово-транспортний обов’язок</w:t>
      </w:r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Загальні питання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1. Це Положення визначає порядок виконання військово-транспортного обов’язку для задоволення потреб Збройних Сил, інших утворених відповідно до законів військових формувань, а також правоохоронних органів спеціального призначення, Держспецзв’язку та Держсп</w:t>
      </w:r>
      <w:r w:rsidRPr="00C633AD">
        <w:rPr>
          <w:color w:val="333333"/>
          <w:sz w:val="24"/>
          <w:szCs w:val="24"/>
          <w:lang w:val="uk-UA"/>
        </w:rPr>
        <w:t>ецтрансслужби (далі - військові формування) на особливий період транспортними засобами і технікою усіх типів і марок вітчизняного та іноземного виробництва, їх повернення під час демобілізації та компенсації шкоди, завданої транспортним засобам і техніці в</w:t>
      </w:r>
      <w:r w:rsidRPr="00C633AD">
        <w:rPr>
          <w:color w:val="333333"/>
          <w:sz w:val="24"/>
          <w:szCs w:val="24"/>
          <w:lang w:val="uk-UA"/>
        </w:rPr>
        <w:t>наслідок їх залучення під час мобілізації.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Дія цього Положення поширюється на центральні органи виконавчої влади, інші державні органи, місцеві держадміністрації, органи місцевого самоврядування, підприємства, установи та організації незалежно від форми вл</w:t>
      </w:r>
      <w:r w:rsidRPr="00C633AD">
        <w:rPr>
          <w:color w:val="333333"/>
          <w:sz w:val="24"/>
          <w:szCs w:val="24"/>
          <w:lang w:val="uk-UA"/>
        </w:rPr>
        <w:t>асності, а також громадян - власників транспортних засобів.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Дія цього Положення не поширюється на дипломатичні представництва і консульські установи іноземних держав, представництва іноземних та міжнародних організацій, іноземців та осіб без громадянства.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Від передачі транспортних засобів і техніки військовим формуванням під час мобілізації можуть звільнятися підприємства, установи та організації у зв’язку з виконанням ними встановлених мобілізаційних завдань за наявності укладеного з Міноборони договору на</w:t>
      </w:r>
      <w:r w:rsidRPr="00C633AD">
        <w:rPr>
          <w:color w:val="333333"/>
          <w:sz w:val="24"/>
          <w:szCs w:val="24"/>
          <w:lang w:val="uk-UA"/>
        </w:rPr>
        <w:t xml:space="preserve"> виконання мобілізаційних завдань, а також за умови, що їх транспортні засоби і техніка задіяні у виробничому процесі виконання мобілізаційних завдань. Від передачі транспортних засобів і техніки військовим </w:t>
      </w:r>
      <w:r w:rsidRPr="00C633AD">
        <w:rPr>
          <w:color w:val="333333"/>
          <w:sz w:val="24"/>
          <w:szCs w:val="24"/>
          <w:lang w:val="uk-UA"/>
        </w:rPr>
        <w:lastRenderedPageBreak/>
        <w:t>формуванням під час мобілізації можуть звільнятис</w:t>
      </w:r>
      <w:r w:rsidRPr="00C633AD">
        <w:rPr>
          <w:color w:val="333333"/>
          <w:sz w:val="24"/>
          <w:szCs w:val="24"/>
          <w:lang w:val="uk-UA"/>
        </w:rPr>
        <w:t>я також підприємства, установи та організації, у яких є висока суспільна потреба. При цьому перелік підприємств, установ та організацій, у яких є висока суспільна потреба, затверджується Кабінетом Міністрів України за поданням Міноборони.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2. У цьому Положе</w:t>
      </w:r>
      <w:r w:rsidRPr="00C633AD">
        <w:rPr>
          <w:color w:val="333333"/>
          <w:sz w:val="24"/>
          <w:szCs w:val="24"/>
          <w:lang w:val="uk-UA"/>
        </w:rPr>
        <w:t>нні терміни вживаються у такому значенні: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мобілізаційна готовність транспортних засобів і техніки - готовність в особливий період до передачі військовим формуванням транспортних засобів і техніки, які перебувають у технічно справному стані, укомплектовані </w:t>
      </w:r>
      <w:r w:rsidRPr="00C633AD">
        <w:rPr>
          <w:color w:val="333333"/>
          <w:sz w:val="24"/>
          <w:szCs w:val="24"/>
          <w:lang w:val="uk-UA"/>
        </w:rPr>
        <w:t>запасними частинами, шанцевим інструментом і заправним інвентарем, а також можуть бути своєчасно доставлені підприємствами, установами та організаціями до визначених пунктів передачі;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ліміти вилучення транспортних засобів і техніки - гранично допустимі обс</w:t>
      </w:r>
      <w:r w:rsidRPr="00C633AD">
        <w:rPr>
          <w:color w:val="333333"/>
          <w:sz w:val="24"/>
          <w:szCs w:val="24"/>
          <w:lang w:val="uk-UA"/>
        </w:rPr>
        <w:t>яги безоплатного залучення, вилучення та примусового відчуження транспортних засобів і техніки для задоволення потреб військових формувань на особливий період;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зведений наряд - розпорядчий документ голови місцевої держадміністрації, в якому встановлено в м</w:t>
      </w:r>
      <w:r w:rsidRPr="00C633AD">
        <w:rPr>
          <w:color w:val="333333"/>
          <w:sz w:val="24"/>
          <w:szCs w:val="24"/>
          <w:lang w:val="uk-UA"/>
        </w:rPr>
        <w:t>ирний час для керівників підприємств, установ та організацій завдання з підготовки до передачі військовим формуванням під час мобілізації визначеної кількості за типами і марками транспортних засобів і техніки, а також порядок, пункти та строки передачі. Г</w:t>
      </w:r>
      <w:r w:rsidRPr="00C633AD">
        <w:rPr>
          <w:color w:val="333333"/>
          <w:sz w:val="24"/>
          <w:szCs w:val="24"/>
          <w:lang w:val="uk-UA"/>
        </w:rPr>
        <w:t>олова місцевої держадміністрації та військовий комісар підписують зведений наряд і скріплюють підписи своїми печатками;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частковий наряд - розпорядчий документ голови місцевої держадміністрації, в якому встановлено під час мобілізації для керівників підприє</w:t>
      </w:r>
      <w:r w:rsidRPr="00C633AD">
        <w:rPr>
          <w:color w:val="333333"/>
          <w:sz w:val="24"/>
          <w:szCs w:val="24"/>
          <w:lang w:val="uk-UA"/>
        </w:rPr>
        <w:t>мств, установ та організацій завдання з передачі військовим формуванням визначених транспортних засобів і техніки, а також порядок, пункти та строки передачі. Голова місцевої держадміністрації та військовий комісар підписують частковий наряд і скріплюють п</w:t>
      </w:r>
      <w:r w:rsidRPr="00C633AD">
        <w:rPr>
          <w:color w:val="333333"/>
          <w:sz w:val="24"/>
          <w:szCs w:val="24"/>
          <w:lang w:val="uk-UA"/>
        </w:rPr>
        <w:t>ідписи своїми печатками. Громадянам - власникам транспортних засобів частковий наряд надається у разі введення правового режиму воєнного стану.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3. Під час мобілізації задоволення потреб військових формувань здійснюється шляхом безоплатного залучення трансп</w:t>
      </w:r>
      <w:r w:rsidRPr="00C633AD">
        <w:rPr>
          <w:color w:val="333333"/>
          <w:sz w:val="24"/>
          <w:szCs w:val="24"/>
          <w:lang w:val="uk-UA"/>
        </w:rPr>
        <w:t>ортних засобів і техніки підприємств, установ та організацій незалежно від форми власності на умовах повернення їх після оголошення демобілізації.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Військові комісаріати здійснюють залучення транспортних засобів і техніки за лімітами вилучення транспортних </w:t>
      </w:r>
      <w:r w:rsidRPr="00C633AD">
        <w:rPr>
          <w:color w:val="333333"/>
          <w:sz w:val="24"/>
          <w:szCs w:val="24"/>
          <w:lang w:val="uk-UA"/>
        </w:rPr>
        <w:t>засобів і техніки та відсотковими нормами вилучення, затвердженими Кабінетом Міністрів України, як окремо, так і у складі спеціальних формувань, які передаються до складу військових формувань під час мобілізації.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lastRenderedPageBreak/>
        <w:t xml:space="preserve">4. Перелік транспортних засобів і техніки, </w:t>
      </w:r>
      <w:r w:rsidRPr="00C633AD">
        <w:rPr>
          <w:color w:val="333333"/>
          <w:sz w:val="24"/>
          <w:szCs w:val="24"/>
          <w:lang w:val="uk-UA"/>
        </w:rPr>
        <w:t>які можуть призначатися для задоволення потреб військових формувань на особливий період, визначається Міноборони.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5. Посадові особи та громадяни несуть відповідальність за невиконання або неналежне виконання військово-транспортного обов’язку відповідно до </w:t>
      </w:r>
      <w:r w:rsidRPr="00C633AD">
        <w:rPr>
          <w:color w:val="333333"/>
          <w:sz w:val="24"/>
          <w:szCs w:val="24"/>
          <w:lang w:val="uk-UA"/>
        </w:rPr>
        <w:t>закону.</w:t>
      </w:r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Виконання військово-транспортного обов’язку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b/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6. </w:t>
      </w:r>
      <w:r w:rsidRPr="00C633AD">
        <w:rPr>
          <w:b/>
          <w:color w:val="333333"/>
          <w:sz w:val="24"/>
          <w:szCs w:val="24"/>
          <w:lang w:val="uk-UA"/>
        </w:rPr>
        <w:t>Військово-транспортний обов’язок є складовою частиною мобілізаційної підготовки і мобілізації в державі та включає в себе проведення заходів, пов’язаних з військовим обліком, завчасною підготовкою, пер</w:t>
      </w:r>
      <w:r w:rsidRPr="00C633AD">
        <w:rPr>
          <w:b/>
          <w:color w:val="333333"/>
          <w:sz w:val="24"/>
          <w:szCs w:val="24"/>
          <w:lang w:val="uk-UA"/>
        </w:rPr>
        <w:t>евіркою готовності до передачі та передачею в особливий період транспортних засобів і техніки військовим формуванням.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7. Військово-транспортний обов’язок виконується: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в мирний час - шляхом проведення заходів, пов’язаних з військовим обліком транспортних за</w:t>
      </w:r>
      <w:r w:rsidRPr="00C633AD">
        <w:rPr>
          <w:color w:val="333333"/>
          <w:sz w:val="24"/>
          <w:szCs w:val="24"/>
          <w:lang w:val="uk-UA"/>
        </w:rPr>
        <w:t>собів і техніки та завчасним забезпеченням їх мобілізаційної готовності відповідно до визначених завдань;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в особливий період - шляхом передачі підприємствами, установами та організаціями, а також громадянами транспортних засобів і техніки для задоволення п</w:t>
      </w:r>
      <w:r w:rsidRPr="00C633AD">
        <w:rPr>
          <w:color w:val="333333"/>
          <w:sz w:val="24"/>
          <w:szCs w:val="24"/>
          <w:lang w:val="uk-UA"/>
        </w:rPr>
        <w:t>отреб військових формувань відповідно до визначених завдань.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8. Міноборони подає Кабінетові Міністрів України погоджені із заінтересованими обласними держадміністраціями пропозиції щодо лімітів вилучення транспортних засобів і техніки та погоджені із заінт</w:t>
      </w:r>
      <w:r w:rsidRPr="00C633AD">
        <w:rPr>
          <w:color w:val="333333"/>
          <w:sz w:val="24"/>
          <w:szCs w:val="24"/>
          <w:lang w:val="uk-UA"/>
        </w:rPr>
        <w:t>ересованими центральними органами виконавчої влади пропозиції щодо відсоткових норм вилучення за галузями національної економіки.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9. З метою виконання військово-транспортного обов’язку ліміти вилучення транспортних засобів і техніки встановлюються: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Раді мі</w:t>
      </w:r>
      <w:r w:rsidRPr="00C633AD">
        <w:rPr>
          <w:color w:val="333333"/>
          <w:sz w:val="24"/>
          <w:szCs w:val="24"/>
          <w:lang w:val="uk-UA"/>
        </w:rPr>
        <w:t>ністрів Автономної Республіки Крим, обласним, Київській та Севастопольській міським держадміністраціям - рішенням Кабінету Міністрів України;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районним держадміністраціям, підприємствам, установам та організаціям міст обласного значення - розпорядженнями Ради міністрів Автономної Республіки Крим, обласних, Київської та Севастопольської міських держадміністрацій за поданням відповідних військових </w:t>
      </w:r>
      <w:r w:rsidRPr="00C633AD">
        <w:rPr>
          <w:color w:val="333333"/>
          <w:sz w:val="24"/>
          <w:szCs w:val="24"/>
          <w:lang w:val="uk-UA"/>
        </w:rPr>
        <w:t>комісаріатів;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підприємствам, установам та організаціям, які розташовані в межах території районів, - розпорядженнями районних держадміністрацій за поданням районних (міських) військових комісаріатів.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Районні, Київська та Севастопольська міські, районні у м</w:t>
      </w:r>
      <w:r w:rsidRPr="00C633AD">
        <w:rPr>
          <w:color w:val="333333"/>
          <w:sz w:val="24"/>
          <w:szCs w:val="24"/>
          <w:lang w:val="uk-UA"/>
        </w:rPr>
        <w:t xml:space="preserve">м. Києві та Севастополі держадміністрації за поданням районних (міських) військових </w:t>
      </w:r>
      <w:r w:rsidRPr="00C633AD">
        <w:rPr>
          <w:color w:val="333333"/>
          <w:sz w:val="24"/>
          <w:szCs w:val="24"/>
          <w:lang w:val="uk-UA"/>
        </w:rPr>
        <w:lastRenderedPageBreak/>
        <w:t>комісаріатів визначають підприємства, установи та організації, на які покладаються завдання з передачі транспортних засобів і техніки для задоволення потреб військових форм</w:t>
      </w:r>
      <w:r w:rsidRPr="00C633AD">
        <w:rPr>
          <w:color w:val="333333"/>
          <w:sz w:val="24"/>
          <w:szCs w:val="24"/>
          <w:lang w:val="uk-UA"/>
        </w:rPr>
        <w:t>увань на особливий період.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Обласні держадміністрації за поданням обласних військових комісаріатів визначають підприємства, установи та організації міст обласного значення, на які покладаються зазначені завдання.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10. Завдання з підготовки до передачі та передачі транспортних засобів і техніки військовим формуванням встановлюються розпорядженнями місцевих держадміністрацій за поданням військових комісаріатів та доводяться до відома: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керівників підприємств, установ т</w:t>
      </w:r>
      <w:r w:rsidRPr="00C633AD">
        <w:rPr>
          <w:color w:val="333333"/>
          <w:sz w:val="24"/>
          <w:szCs w:val="24"/>
          <w:lang w:val="uk-UA"/>
        </w:rPr>
        <w:t>а організацій у мирний час - через військові комісаріати шляхом вручення відповідних зведених нарядів;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керівників підприємств, установ та організацій під час мобілізації - через військові комісаріати шляхом вручення відповідних часткових нарядів;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громадян </w:t>
      </w:r>
      <w:r w:rsidRPr="00C633AD">
        <w:rPr>
          <w:color w:val="333333"/>
          <w:sz w:val="24"/>
          <w:szCs w:val="24"/>
          <w:lang w:val="uk-UA"/>
        </w:rPr>
        <w:t>- власників транспортних засобів під час мобілізації у разі введення правового режиму воєнного стану - через військові комісаріати шляхом вручення часткових нарядів.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11. Для державної реєстрації (перереєстрації), зняття з обліку транспортних засобів в орга</w:t>
      </w:r>
      <w:r w:rsidRPr="00C633AD">
        <w:rPr>
          <w:color w:val="333333"/>
          <w:sz w:val="24"/>
          <w:szCs w:val="24"/>
          <w:lang w:val="uk-UA"/>
        </w:rPr>
        <w:t>нах Державтоінспекції (крім транспортних засобів, власниками яких є громадяни), крім документів, необхідних для реєстрації (перереєстрації), зняття з обліку, представником підприємства, установи чи організації, транспортні засоби яких підлягають реєстрації</w:t>
      </w:r>
      <w:r w:rsidRPr="00C633AD">
        <w:rPr>
          <w:color w:val="333333"/>
          <w:sz w:val="24"/>
          <w:szCs w:val="24"/>
          <w:lang w:val="uk-UA"/>
        </w:rPr>
        <w:t xml:space="preserve"> (перереєстрації), зняттю з обліку, подається довідка, форма якої визначається Міноборони, з відміткою військового комісара про постановку транспортного засобу на військовий облік або зняття з такого обліку.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12. Військові комісаріати та органи військового </w:t>
      </w:r>
      <w:r w:rsidRPr="00C633AD">
        <w:rPr>
          <w:color w:val="333333"/>
          <w:sz w:val="24"/>
          <w:szCs w:val="24"/>
          <w:lang w:val="uk-UA"/>
        </w:rPr>
        <w:t>управління ведуть військовий облік транспортних засобів і техніки з метою планування передачі підприємствами, установами та організаціями транспортних засобів і техніки для задоволення потреб військових формувань на особливий період.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13. Для забезпечення в</w:t>
      </w:r>
      <w:r w:rsidRPr="00C633AD">
        <w:rPr>
          <w:color w:val="333333"/>
          <w:sz w:val="24"/>
          <w:szCs w:val="24"/>
          <w:lang w:val="uk-UA"/>
        </w:rPr>
        <w:t>едення військовими комісаріатами та органами військового управління військового обліку транспортних засобів і техніки органи Державтоінспекції, Державної служби з безпеки на транспорті, інспекцій державного технічного нагляду місцевих держадміністрацій под</w:t>
      </w:r>
      <w:r w:rsidRPr="00C633AD">
        <w:rPr>
          <w:color w:val="333333"/>
          <w:sz w:val="24"/>
          <w:szCs w:val="24"/>
          <w:lang w:val="uk-UA"/>
        </w:rPr>
        <w:t>ають до військових комісаріатів інформацію про реєстрацію (перереєстрацію), зміну реєстраційних даних та зняття з обліку транспортних засобів і техніки на території відповідних адміністративно-територіальних одиниць. Зазначена інформація подається щороку н</w:t>
      </w:r>
      <w:r w:rsidRPr="00C633AD">
        <w:rPr>
          <w:color w:val="333333"/>
          <w:sz w:val="24"/>
          <w:szCs w:val="24"/>
          <w:lang w:val="uk-UA"/>
        </w:rPr>
        <w:t>е пізніше 20 червня та 20 грудня або протягом п’яти робочих днів з дати надходження відповідних запитів військових комісаріатів.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14. Керівник підприємства, установи та організації зобов’язаний: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lastRenderedPageBreak/>
        <w:t>здійснювати разом із представниками військових комісаріатів та</w:t>
      </w:r>
      <w:r w:rsidRPr="00C633AD">
        <w:rPr>
          <w:color w:val="333333"/>
          <w:sz w:val="24"/>
          <w:szCs w:val="24"/>
          <w:lang w:val="uk-UA"/>
        </w:rPr>
        <w:t xml:space="preserve"> військових формувань відбір транспортних засобів і техніки за типами і марками, технічним станом відповідно до наданих зведених або часткових нарядів;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забезпечувати дотримання вимог до технічного стану та укомплектованості транспортних засобів і техніки, </w:t>
      </w:r>
      <w:r w:rsidRPr="00C633AD">
        <w:rPr>
          <w:color w:val="333333"/>
          <w:sz w:val="24"/>
          <w:szCs w:val="24"/>
          <w:lang w:val="uk-UA"/>
        </w:rPr>
        <w:t>призначених для задоволення потреб військових формувань на особливий період;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утримувати транспортні засоби і техніку, призначені для задоволення потреб військових формувань на особливий період, у стані постійної готовності до передачі військовим формування</w:t>
      </w:r>
      <w:r w:rsidRPr="00C633AD">
        <w:rPr>
          <w:color w:val="333333"/>
          <w:sz w:val="24"/>
          <w:szCs w:val="24"/>
          <w:lang w:val="uk-UA"/>
        </w:rPr>
        <w:t>м;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забезпечувати своєчасну доставку транспортних засобів і техніки, призначених для задоволення потреб військових формувань на особливий період, до визначених пунктів передачі відповідно до часткових нарядів.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bookmarkStart w:id="0" w:name="_GoBack"/>
      <w:r w:rsidRPr="00C633AD">
        <w:rPr>
          <w:color w:val="333333"/>
          <w:sz w:val="24"/>
          <w:szCs w:val="24"/>
          <w:lang w:val="uk-UA"/>
        </w:rPr>
        <w:t>15</w:t>
      </w:r>
      <w:r w:rsidRPr="00C633AD">
        <w:rPr>
          <w:b/>
          <w:color w:val="333333"/>
          <w:sz w:val="24"/>
          <w:szCs w:val="24"/>
          <w:lang w:val="uk-UA"/>
        </w:rPr>
        <w:t>. Керівники підприємств, установ та організац</w:t>
      </w:r>
      <w:r w:rsidRPr="00C633AD">
        <w:rPr>
          <w:b/>
          <w:color w:val="333333"/>
          <w:sz w:val="24"/>
          <w:szCs w:val="24"/>
          <w:lang w:val="uk-UA"/>
        </w:rPr>
        <w:t>ій подають військовим комісаріатам щороку до 20 червня та 20 грудня інформацію про наявність транспортних засобів і техніки, їх технічний стан, а також про громадян, які працюють на підприємствах, в установах та організаціях на таких транспортних засобах і</w:t>
      </w:r>
      <w:r w:rsidRPr="00C633AD">
        <w:rPr>
          <w:b/>
          <w:color w:val="333333"/>
          <w:sz w:val="24"/>
          <w:szCs w:val="24"/>
          <w:lang w:val="uk-UA"/>
        </w:rPr>
        <w:t xml:space="preserve"> техніці, за формою згідно з додатком 1</w:t>
      </w:r>
      <w:r w:rsidRPr="00C633AD">
        <w:rPr>
          <w:color w:val="333333"/>
          <w:sz w:val="24"/>
          <w:szCs w:val="24"/>
          <w:lang w:val="uk-UA"/>
        </w:rPr>
        <w:t>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Інформація про наявність водних транспортних засобів та їх технічний стан подається за формою та у порядку, що встановлені Міноборони разом з Мінінфраструктури.</w:t>
      </w:r>
    </w:p>
    <w:bookmarkEnd w:id="0"/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16. Керівники підприємств, установ та організацій, тра</w:t>
      </w:r>
      <w:r w:rsidRPr="00C633AD">
        <w:rPr>
          <w:color w:val="333333"/>
          <w:sz w:val="24"/>
          <w:szCs w:val="24"/>
          <w:lang w:val="uk-UA"/>
        </w:rPr>
        <w:t>нспортні засоби і техніка яких призначені для задоволення потреб військових формувань на особливий період, у разі зміни найменування підприємства, установи та організації або форми власності, відправки транспортних засобів і техніки в інші регіони або за м</w:t>
      </w:r>
      <w:r w:rsidRPr="00C633AD">
        <w:rPr>
          <w:color w:val="333333"/>
          <w:sz w:val="24"/>
          <w:szCs w:val="24"/>
          <w:lang w:val="uk-UA"/>
        </w:rPr>
        <w:t>ежі території України на тривалий час, передачі права власності на транспортні засоби і техніку іншим юридичним особам або громадянам, в довгострокову оренду (лізинг), а також якщо транспортний засіб або техніка є предметом застави як виконання зобов’язанн</w:t>
      </w:r>
      <w:r w:rsidRPr="00C633AD">
        <w:rPr>
          <w:color w:val="333333"/>
          <w:sz w:val="24"/>
          <w:szCs w:val="24"/>
          <w:lang w:val="uk-UA"/>
        </w:rPr>
        <w:t>я за договорами про надання кредиту та гарантії перед банківською установою, та в інших випадках, коли унеможливлюється передача транспортних засобів і техніки військовим формуванням, зобов’язані у семиденний строк повідомити про це військовим комісаріатам</w:t>
      </w:r>
      <w:r w:rsidRPr="00C633AD">
        <w:rPr>
          <w:color w:val="333333"/>
          <w:sz w:val="24"/>
          <w:szCs w:val="24"/>
          <w:lang w:val="uk-UA"/>
        </w:rPr>
        <w:t>, на військовому обліку яких перебувають транспортні засоби і техніка.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17. У разі реорганізації (злиття, приєднання, поділу, перетворення), ліквідації або банкрутства підприємства, установи та організації, транспортні засоби і техніка яких призначені для з</w:t>
      </w:r>
      <w:r w:rsidRPr="00C633AD">
        <w:rPr>
          <w:color w:val="333333"/>
          <w:sz w:val="24"/>
          <w:szCs w:val="24"/>
          <w:lang w:val="uk-UA"/>
        </w:rPr>
        <w:t>адоволення потреб військових формувань на особливий період, місцеві держадміністрації (виконавчі органи сільських, селищних, міських рад) повідомляють про це військовим комісаріатам з поданням пропозиції щодо покладення завдання з підготовки та передачі тр</w:t>
      </w:r>
      <w:r w:rsidRPr="00C633AD">
        <w:rPr>
          <w:color w:val="333333"/>
          <w:sz w:val="24"/>
          <w:szCs w:val="24"/>
          <w:lang w:val="uk-UA"/>
        </w:rPr>
        <w:t xml:space="preserve">анспортних засобів і техніки військовим формуванням на правонаступників або </w:t>
      </w:r>
      <w:r w:rsidRPr="00C633AD">
        <w:rPr>
          <w:color w:val="333333"/>
          <w:sz w:val="24"/>
          <w:szCs w:val="24"/>
          <w:lang w:val="uk-UA"/>
        </w:rPr>
        <w:lastRenderedPageBreak/>
        <w:t>на інші підприємства, установи та організації, які розташовані на території відповідної адміністративно-територіальної одиниці.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18. Транспортні засоби і техніка підприємств, устано</w:t>
      </w:r>
      <w:r w:rsidRPr="00C633AD">
        <w:rPr>
          <w:color w:val="333333"/>
          <w:sz w:val="24"/>
          <w:szCs w:val="24"/>
          <w:lang w:val="uk-UA"/>
        </w:rPr>
        <w:t>в та організацій, призначені для задоволення потреб військових формувань на особливий період, підлягають не частіше одного разу на рік, але не рідше трьох разів на п’ять років в мирний час перевірці їх мобілізаційної готовності представниками військових ко</w:t>
      </w:r>
      <w:r w:rsidRPr="00C633AD">
        <w:rPr>
          <w:color w:val="333333"/>
          <w:sz w:val="24"/>
          <w:szCs w:val="24"/>
          <w:lang w:val="uk-UA"/>
        </w:rPr>
        <w:t>місаріатів.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Перевірка мобілізаційної готовності транспортних засобів і техніки проводиться за окремими графіками та планами, що розробляються військовими комісаріатами, погоджуються з місцевими держадміністраціями, затверджуються обласними військовими комі</w:t>
      </w:r>
      <w:r w:rsidRPr="00C633AD">
        <w:rPr>
          <w:color w:val="333333"/>
          <w:sz w:val="24"/>
          <w:szCs w:val="24"/>
          <w:lang w:val="uk-UA"/>
        </w:rPr>
        <w:t>саріатами та доводяться районними (міськими) військовими комісаріатами до відома керівників підприємств, установ та організацій.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До перевірки мобілізаційної готовності транспортних засобів і техніки також можуть залучатися уповноважені представники місцеви</w:t>
      </w:r>
      <w:r w:rsidRPr="00C633AD">
        <w:rPr>
          <w:color w:val="333333"/>
          <w:sz w:val="24"/>
          <w:szCs w:val="24"/>
          <w:lang w:val="uk-UA"/>
        </w:rPr>
        <w:t>х держадміністрацій, органів військового управління, військових формувань.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19. Керівники підприємств, установ та організацій зобов’язані забезпечити доступ представників військових комісаріатів до транспортних засобів і техніки для проведення перевірки їх </w:t>
      </w:r>
      <w:r w:rsidRPr="00C633AD">
        <w:rPr>
          <w:color w:val="333333"/>
          <w:sz w:val="24"/>
          <w:szCs w:val="24"/>
          <w:lang w:val="uk-UA"/>
        </w:rPr>
        <w:t>мобілізаційної готовності.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За результатами перевірки складається акт у чотирьох примірниках, один з яких подається місцевій держадміністрації, другий - підприємству, установі чи організації, транспортні засоби і техніка яких перевірялися, третій - військов</w:t>
      </w:r>
      <w:r w:rsidRPr="00C633AD">
        <w:rPr>
          <w:color w:val="333333"/>
          <w:sz w:val="24"/>
          <w:szCs w:val="24"/>
          <w:lang w:val="uk-UA"/>
        </w:rPr>
        <w:t>ому комісаріату, четвертий - військовій частині (підрозділу), установі чи організації військового формування, для яких призначені транспортні засоби і техніка, що перевірялися.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20. На підставі результатів перевірки мобілізаційної готовності транспортних за</w:t>
      </w:r>
      <w:r w:rsidRPr="00C633AD">
        <w:rPr>
          <w:color w:val="333333"/>
          <w:sz w:val="24"/>
          <w:szCs w:val="24"/>
          <w:lang w:val="uk-UA"/>
        </w:rPr>
        <w:t>собів і техніки та пропозицій військових комісаріатів щодо підвищення рівня мобілізаційної готовності транспортних засобів і техніки місцеві держадміністрації розглядають питання щодо повноти та якості виконання військово-транспортного обов’язку керівникам</w:t>
      </w:r>
      <w:r w:rsidRPr="00C633AD">
        <w:rPr>
          <w:color w:val="333333"/>
          <w:sz w:val="24"/>
          <w:szCs w:val="24"/>
          <w:lang w:val="uk-UA"/>
        </w:rPr>
        <w:t>и підприємств, установ та організацій і у разі потреби вживають заходів до підвищення рівня мобілізаційної готовності транспортних засобів і техніки, про що видають відповідні розпорядження і доводять їх до відома керівників підприємств, установ та організ</w:t>
      </w:r>
      <w:r w:rsidRPr="00C633AD">
        <w:rPr>
          <w:color w:val="333333"/>
          <w:sz w:val="24"/>
          <w:szCs w:val="24"/>
          <w:lang w:val="uk-UA"/>
        </w:rPr>
        <w:t>ацій і військових комісаріатів.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21. Керівники підприємств, установ та організацій забезпечують доставку і передачу військовим формуванням в установлені строки у визначених пунктах передачі транспортних засобів і техніки у технічно справному стані з відпові</w:t>
      </w:r>
      <w:r w:rsidRPr="00C633AD">
        <w:rPr>
          <w:color w:val="333333"/>
          <w:sz w:val="24"/>
          <w:szCs w:val="24"/>
          <w:lang w:val="uk-UA"/>
        </w:rPr>
        <w:t xml:space="preserve">дними реєстраційними документами та документами, що засвідчують їх технічний стан, а також укомплектованих запасними частинами, шанцевим </w:t>
      </w:r>
      <w:r w:rsidRPr="00C633AD">
        <w:rPr>
          <w:color w:val="333333"/>
          <w:sz w:val="24"/>
          <w:szCs w:val="24"/>
          <w:lang w:val="uk-UA"/>
        </w:rPr>
        <w:lastRenderedPageBreak/>
        <w:t>інструментом і заправним інвентарем, відповідно вимогам, визначеним у додатку 2.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22. Доставка транспортних засобів і те</w:t>
      </w:r>
      <w:r w:rsidRPr="00C633AD">
        <w:rPr>
          <w:color w:val="333333"/>
          <w:sz w:val="24"/>
          <w:szCs w:val="24"/>
          <w:lang w:val="uk-UA"/>
        </w:rPr>
        <w:t>хніки до пунктів передачі, проведення підготовчих заходів для встановлення на них обладнання, дообладнання згідно з комплектацією, встановленою заводом-виробником, здійснюються силами і засобами підприємств, установ та організацій.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23. Для забезпечення дос</w:t>
      </w:r>
      <w:r w:rsidRPr="00C633AD">
        <w:rPr>
          <w:color w:val="333333"/>
          <w:sz w:val="24"/>
          <w:szCs w:val="24"/>
          <w:lang w:val="uk-UA"/>
        </w:rPr>
        <w:t>тавки транспортних засобів і техніки до визначених пунктів передачі місцеві держадміністрації (органи місцевого самоврядування) за поданням військових комісаріатів створюють на нафтобазах, автозаправних станціях незалежно від форми власності незнижувальний</w:t>
      </w:r>
      <w:r w:rsidRPr="00C633AD">
        <w:rPr>
          <w:color w:val="333333"/>
          <w:sz w:val="24"/>
          <w:szCs w:val="24"/>
          <w:lang w:val="uk-UA"/>
        </w:rPr>
        <w:t xml:space="preserve"> запас пально-мастильних матеріалів у обсязі, достатньому для забезпечення заправки пальним встановленої кількості транспортних засобів і техніки.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24. Для забезпечення своєчасного оповіщення, збору та прибуття громадян, які призиваються на військову службу</w:t>
      </w:r>
      <w:r w:rsidRPr="00C633AD">
        <w:rPr>
          <w:color w:val="333333"/>
          <w:sz w:val="24"/>
          <w:szCs w:val="24"/>
          <w:lang w:val="uk-UA"/>
        </w:rPr>
        <w:t xml:space="preserve"> під час мобілізації, до пунктів попереднього збору військових комісаріатів і пунктів прийому військових частин (підрозділів), установ та організацій військових формувань транспортні засоби підприємств, установ та організацій, які не передаються військовим</w:t>
      </w:r>
      <w:r w:rsidRPr="00C633AD">
        <w:rPr>
          <w:color w:val="333333"/>
          <w:sz w:val="24"/>
          <w:szCs w:val="24"/>
          <w:lang w:val="uk-UA"/>
        </w:rPr>
        <w:t xml:space="preserve"> формуванням під час мобілізації, можуть за рішеннями місцевих держадміністрацій (органів місцевого самоврядування) тимчасово залучатися для перевезення особового складу, а також виконання першочергових завдань.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25. Технічний стан транспортних засобів і техніки (крім морських (річкових) суден), призначених для задоволення потреб військових формувань на особливий період, та їх обладнання повинні відповідати вимогам чинних в Україні правил, нормативів, стандартів і </w:t>
      </w:r>
      <w:r w:rsidRPr="00C633AD">
        <w:rPr>
          <w:color w:val="333333"/>
          <w:sz w:val="24"/>
          <w:szCs w:val="24"/>
          <w:lang w:val="uk-UA"/>
        </w:rPr>
        <w:t>забезпечувати використання (експлуатацію) транспортних засобів і техніки за призначенням.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Технічний стан морських (річкових) суден, призначених для задоволення потреб військових формувань в особливий період, та їх обладнання повинні відповідати вимогам чин</w:t>
      </w:r>
      <w:r w:rsidRPr="00C633AD">
        <w:rPr>
          <w:color w:val="333333"/>
          <w:sz w:val="24"/>
          <w:szCs w:val="24"/>
          <w:lang w:val="uk-UA"/>
        </w:rPr>
        <w:t>них в Україні правил, нормативів, стандартів з питань технічної експлуатації і безпеки мореплавства, а їх експлуатаційно-технічні характеристики - основним вимогам, визначеним у додатку 3.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26. З метою здійснення контролю за готовністю підприємств, установ </w:t>
      </w:r>
      <w:r w:rsidRPr="00C633AD">
        <w:rPr>
          <w:color w:val="333333"/>
          <w:sz w:val="24"/>
          <w:szCs w:val="24"/>
          <w:lang w:val="uk-UA"/>
        </w:rPr>
        <w:t>та організацій до виконання військово-транспортного обов’язку військові формування не частіше ніж один раз на рік мають право в мирний час залучати на договірних засадах їх транспортні засоби і техніку, призначені для задоволення потреб військових формуван</w:t>
      </w:r>
      <w:r w:rsidRPr="00C633AD">
        <w:rPr>
          <w:color w:val="333333"/>
          <w:sz w:val="24"/>
          <w:szCs w:val="24"/>
          <w:lang w:val="uk-UA"/>
        </w:rPr>
        <w:t>ь на особливий період (за винятком транспортних засобів, які перебувають у власності громадян), у ході проведення навчальних зборів, навчань і тренувань з мобілізаційного розгортання.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27. Залучення під час мобілізації транспортних засобів і техніки оформля</w:t>
      </w:r>
      <w:r w:rsidRPr="00C633AD">
        <w:rPr>
          <w:color w:val="333333"/>
          <w:sz w:val="24"/>
          <w:szCs w:val="24"/>
          <w:lang w:val="uk-UA"/>
        </w:rPr>
        <w:t>ється відповідним актом приймання-передачі за формою згідно з додатками 4 і 5.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lastRenderedPageBreak/>
        <w:t>Акт приймання-передачі складається у трьох примірниках і підписується керівником підприємства, установи та організації або його уповноваженим представником, військовим комісаром</w:t>
      </w:r>
      <w:r w:rsidRPr="00C633AD">
        <w:rPr>
          <w:color w:val="333333"/>
          <w:sz w:val="24"/>
          <w:szCs w:val="24"/>
          <w:lang w:val="uk-UA"/>
        </w:rPr>
        <w:t xml:space="preserve"> або його уповноваженим представником та командиром (начальником) військової частини (підрозділу), установи та організації військового формування або його уповноваженим представником, якому передається транспортний засіб або техніка, і скріплюється печатка</w:t>
      </w:r>
      <w:r w:rsidRPr="00C633AD">
        <w:rPr>
          <w:color w:val="333333"/>
          <w:sz w:val="24"/>
          <w:szCs w:val="24"/>
          <w:lang w:val="uk-UA"/>
        </w:rPr>
        <w:t>ми.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28. В акті приймання-передачі транспортних засобів і техніки зазначається залишкова (балансова) вартість транспортного засобу або техніки, визначена відповідно до даних балансу підприємства, установи та організації, складеного на останню звітну дату (о</w:t>
      </w:r>
      <w:r w:rsidRPr="00C633AD">
        <w:rPr>
          <w:color w:val="333333"/>
          <w:sz w:val="24"/>
          <w:szCs w:val="24"/>
          <w:lang w:val="uk-UA"/>
        </w:rPr>
        <w:t>станній день кварталу (року).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За власною ініціативою власника та за рахунок його коштів може проводитися незалежна оцінка транспортного засобу або техніки шляхом залучення суб’єкта оціночної діяльності - суб’єкта господарювання в порядку, визначеному закон</w:t>
      </w:r>
      <w:r w:rsidRPr="00C633AD">
        <w:rPr>
          <w:color w:val="333333"/>
          <w:sz w:val="24"/>
          <w:szCs w:val="24"/>
          <w:lang w:val="uk-UA"/>
        </w:rPr>
        <w:t>одавством про оцінку майна, майнових прав та професійну оціночну діяльність. В такому разі в акті приймання-передачі транспортного засобу і техніки зазначається вартість транспортного засобу або техніки, визначена за результатами проведення їх незалежної о</w:t>
      </w:r>
      <w:r w:rsidRPr="00C633AD">
        <w:rPr>
          <w:color w:val="333333"/>
          <w:sz w:val="24"/>
          <w:szCs w:val="24"/>
          <w:lang w:val="uk-UA"/>
        </w:rPr>
        <w:t>цінки.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29. Після взяття на облік в установленому порядку у відповідній військовій частині (підрозділі), установі та організації військових формувань прийнятих транспортних засобів і техніки проводиться їх відомча реєстрація із здійсненням обов’язкового тех</w:t>
      </w:r>
      <w:r w:rsidRPr="00C633AD">
        <w:rPr>
          <w:color w:val="333333"/>
          <w:sz w:val="24"/>
          <w:szCs w:val="24"/>
          <w:lang w:val="uk-UA"/>
        </w:rPr>
        <w:t>нічного контролю (у разі відсутності документів, що підтверджують його здійснення).</w:t>
      </w:r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Повернення транспортних засобів і техніки, залучених під час мобілізації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30. Повернення підприємствам, установам та організаціям транспортних засобів і техніки здійснюється</w:t>
      </w:r>
      <w:r w:rsidRPr="00C633AD">
        <w:rPr>
          <w:color w:val="333333"/>
          <w:sz w:val="24"/>
          <w:szCs w:val="24"/>
          <w:lang w:val="uk-UA"/>
        </w:rPr>
        <w:t xml:space="preserve"> військовими частинами (підрозділами), установами та організаціями військових формувань, для задоволення потреб яких вони залучалися, протягом 30 календарних днів з дати оголошення демобілізації через військові комісаріати, які здійснили таке залучення.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31</w:t>
      </w:r>
      <w:r w:rsidRPr="00C633AD">
        <w:rPr>
          <w:color w:val="333333"/>
          <w:sz w:val="24"/>
          <w:szCs w:val="24"/>
          <w:lang w:val="uk-UA"/>
        </w:rPr>
        <w:t>. Для повернення транспортних засобів і техніки керівники підприємств, установ та організацій, транспортні засоби і техніка яких залучалися під час мобілізації, звертаються до військового комісаріату за місцем їх залучення з відповідною заявою.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32. Строки та пункти повернення транспортних засобів і техніки визначаються військовими комісаріатами за погодженням з місцевими держадміністраціями і доводяться до відома керівників підприємств, установ та організацій.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33. Командири (начальники) військови</w:t>
      </w:r>
      <w:r w:rsidRPr="00C633AD">
        <w:rPr>
          <w:color w:val="333333"/>
          <w:sz w:val="24"/>
          <w:szCs w:val="24"/>
          <w:lang w:val="uk-UA"/>
        </w:rPr>
        <w:t xml:space="preserve">х частин (підрозділів), керівники установ та організацій військових формувань під час повернення підприємствам, </w:t>
      </w:r>
      <w:r w:rsidRPr="00C633AD">
        <w:rPr>
          <w:color w:val="333333"/>
          <w:sz w:val="24"/>
          <w:szCs w:val="24"/>
          <w:lang w:val="uk-UA"/>
        </w:rPr>
        <w:lastRenderedPageBreak/>
        <w:t>установам та організаціям транспортних засобів і техніки, залучених під час мобілізації, зобов’язані забезпечити: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технічне обслуговування трансп</w:t>
      </w:r>
      <w:r w:rsidRPr="00C633AD">
        <w:rPr>
          <w:color w:val="333333"/>
          <w:sz w:val="24"/>
          <w:szCs w:val="24"/>
          <w:lang w:val="uk-UA"/>
        </w:rPr>
        <w:t>ортних засобів і техніки та їх заправку пальним в обсягах, що дадуть змогу доставити транспортні засоби і техніку до пунктів повернення із залишком пального після повернення в обсягах, які були на момент передачі;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здійснення (у разі потреби) визначення обс</w:t>
      </w:r>
      <w:r w:rsidRPr="00C633AD">
        <w:rPr>
          <w:color w:val="333333"/>
          <w:sz w:val="24"/>
          <w:szCs w:val="24"/>
          <w:lang w:val="uk-UA"/>
        </w:rPr>
        <w:t>ягу шкоди, завданої транспортним засобам і техніці внаслідок їх залучення під час мобілізації;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своєчасну доставку транспортних засобів і техніки у визначені пункти повернення.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Транспортні засоби і техніка повертаються з відповідними реєстраційними документ</w:t>
      </w:r>
      <w:r w:rsidRPr="00C633AD">
        <w:rPr>
          <w:color w:val="333333"/>
          <w:sz w:val="24"/>
          <w:szCs w:val="24"/>
          <w:lang w:val="uk-UA"/>
        </w:rPr>
        <w:t>ами та державними номерними знаками.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34. Обсяг шкоди, завданої транспортним засобам і техніці внаслідок їх залучення під час мобілізації, визначається під час підготовки військовими частинами (підрозділами), установами та організаціями військових формувань</w:t>
      </w:r>
      <w:r w:rsidRPr="00C633AD">
        <w:rPr>
          <w:color w:val="333333"/>
          <w:sz w:val="24"/>
          <w:szCs w:val="24"/>
          <w:lang w:val="uk-UA"/>
        </w:rPr>
        <w:t xml:space="preserve"> транспортних засобів і техніки до повернення підприємствам, установам та організаціям. Визначення обсягу шкоди, завданої транспортним засобам і техніці внаслідок їх залучення під час мобілізації, здійснюється суб’єктом оціночної діяльності - суб’єктом гос</w:t>
      </w:r>
      <w:r w:rsidRPr="00C633AD">
        <w:rPr>
          <w:color w:val="333333"/>
          <w:sz w:val="24"/>
          <w:szCs w:val="24"/>
          <w:lang w:val="uk-UA"/>
        </w:rPr>
        <w:t>подарювання, суб’єктом оціночної діяльності - органом державної влади та органом місцевого самоврядування або судовим експертом за результатами проведення оцінки майна у порядку, встановленому законодавством про оцінку майна, майнових прав та професійну оц</w:t>
      </w:r>
      <w:r w:rsidRPr="00C633AD">
        <w:rPr>
          <w:color w:val="333333"/>
          <w:sz w:val="24"/>
          <w:szCs w:val="24"/>
          <w:lang w:val="uk-UA"/>
        </w:rPr>
        <w:t>іночну діяльність, відповідно до встановлених стандартів та методик за рахунок коштів державного бюджету, призначених для фінансування військових формувань, для задоволення потреб яких залучалися транспортні засоби і техніка.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35. Про повернення транспортни</w:t>
      </w:r>
      <w:r w:rsidRPr="00C633AD">
        <w:rPr>
          <w:color w:val="333333"/>
          <w:sz w:val="24"/>
          <w:szCs w:val="24"/>
          <w:lang w:val="uk-UA"/>
        </w:rPr>
        <w:t xml:space="preserve">х засобів і техніки, залучених під час мобілізації, складається акт за формою згідно з додатками 6 і 7. До акта про повернення транспортних засобів і техніки додається висновок експерта (експертне дослідження) або звіт про оцінку майна (акт оцінки майна). </w:t>
      </w:r>
      <w:r w:rsidRPr="00C633AD">
        <w:rPr>
          <w:color w:val="333333"/>
          <w:sz w:val="24"/>
          <w:szCs w:val="24"/>
          <w:lang w:val="uk-UA"/>
        </w:rPr>
        <w:t>Звіт про оцінку майна (акт оцінки майна), складений за результатами її проведення, підлягає рецензуванню відповідно до законодавства про оцінку майна, майнових прав та професійну оціночну діяльність.</w:t>
      </w:r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Порядок компенсації шкоди, завданої транспортним засобам</w:t>
      </w:r>
      <w:r w:rsidRPr="00C633AD">
        <w:rPr>
          <w:b/>
          <w:color w:val="333333"/>
          <w:sz w:val="28"/>
          <w:szCs w:val="28"/>
          <w:lang w:val="uk-UA"/>
        </w:rPr>
        <w:t xml:space="preserve"> і техніці внаслідок їх залучення під час мобілізації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36. Право на компенсацію шкоди, завданої транспортним засобам і техніці внаслідок їх залучення під час мобілізації, мають юридичні особи комунальної і приватної форми власності, транспортні засоби і тех</w:t>
      </w:r>
      <w:r w:rsidRPr="00C633AD">
        <w:rPr>
          <w:color w:val="333333"/>
          <w:sz w:val="24"/>
          <w:szCs w:val="24"/>
          <w:lang w:val="uk-UA"/>
        </w:rPr>
        <w:t>ніка яких залучалися для задоволення потреб військових формувань під час мобілізації.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lastRenderedPageBreak/>
        <w:t>37. Компенсація шкоди, завданої транспортним засобам і техніці внаслідок їх залучення під час мобілізації, здійснюється за рахунок коштів державного бюджету протягом п’ят</w:t>
      </w:r>
      <w:r w:rsidRPr="00C633AD">
        <w:rPr>
          <w:color w:val="333333"/>
          <w:sz w:val="24"/>
          <w:szCs w:val="24"/>
          <w:lang w:val="uk-UA"/>
        </w:rPr>
        <w:t>и наступних бюджетних періодів після оголошення демобілізації та повернення транспортних засобів і техніки підприємствам, установам та організаціям.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38. Для отримання компенсації шкоди, завданої транспортним засобам і техніці внаслідок їх залучення під час</w:t>
      </w:r>
      <w:r w:rsidRPr="00C633AD">
        <w:rPr>
          <w:color w:val="333333"/>
          <w:sz w:val="24"/>
          <w:szCs w:val="24"/>
          <w:lang w:val="uk-UA"/>
        </w:rPr>
        <w:t xml:space="preserve"> мобілізації, керівник підприємства, установи та організації, транспортні засоби і техніка яких залучалися під час мобілізації, після оголошення демобілізації та повернення транспортних засобів і техніки звертається до військового комісаріату за місцем їх </w:t>
      </w:r>
      <w:r w:rsidRPr="00C633AD">
        <w:rPr>
          <w:color w:val="333333"/>
          <w:sz w:val="24"/>
          <w:szCs w:val="24"/>
          <w:lang w:val="uk-UA"/>
        </w:rPr>
        <w:t>залучення із заявою, до якої додаються акт приймання-передачі, акт про повернення під час демобілізації транспортних засобів і техніки і висновок експерта (експертне дослідження) або звіт про оцінку майна (акт оцінки майна).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У заяві зазначаються такі відом</w:t>
      </w:r>
      <w:r w:rsidRPr="00C633AD">
        <w:rPr>
          <w:color w:val="333333"/>
          <w:sz w:val="24"/>
          <w:szCs w:val="24"/>
          <w:lang w:val="uk-UA"/>
        </w:rPr>
        <w:t>ості про підприємство, установу та організацію: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повне найменування;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місцезнаходження;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реєстраційний номер облікової картки платника податків;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реквізити банківського рахунка.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39. Військовий комісаріат розглядає заяву протягом 10 робочих днів з дати її подання.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У разі виникнення потреби в перевірці викладених у заяві фактів та з’ясуванні додаткових обставин заява розглядається протягом одного місяця з повідомленням про це заявни</w:t>
      </w:r>
      <w:r w:rsidRPr="00C633AD">
        <w:rPr>
          <w:color w:val="333333"/>
          <w:sz w:val="24"/>
          <w:szCs w:val="24"/>
          <w:lang w:val="uk-UA"/>
        </w:rPr>
        <w:t>ку.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40. За результатами розгляду заяви військовий комісаріат оформляє висновок про здійснення виплати для компенсації шкоди, завданої транспортному засобу або техніці внаслідок їх залучення під час мобілізації, за формою згідно з додатком 8, який підписуєт</w:t>
      </w:r>
      <w:r w:rsidRPr="00C633AD">
        <w:rPr>
          <w:color w:val="333333"/>
          <w:sz w:val="24"/>
          <w:szCs w:val="24"/>
          <w:lang w:val="uk-UA"/>
        </w:rPr>
        <w:t>ься військовим комісаром із зазначенням прізвища та ініціалів і скріплюється печаткою.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Зазначений висновок складається у трьох примірниках, один з яких передається заявникові, другий - територіальному органу Казначейства, а третій зберігається у військовом</w:t>
      </w:r>
      <w:r w:rsidRPr="00C633AD">
        <w:rPr>
          <w:color w:val="333333"/>
          <w:sz w:val="24"/>
          <w:szCs w:val="24"/>
          <w:lang w:val="uk-UA"/>
        </w:rPr>
        <w:t>у комісаріаті.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Військовий комісаріат на підставі згаданого висновку визначає потребу в коштах, яка враховується Міноборони у бюджетному запиті на наступний бюджетний період після оголошення демобілізації.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Виплата компенсації шкоди здійснюється військовими </w:t>
      </w:r>
      <w:r w:rsidRPr="00C633AD">
        <w:rPr>
          <w:color w:val="333333"/>
          <w:sz w:val="24"/>
          <w:szCs w:val="24"/>
          <w:lang w:val="uk-UA"/>
        </w:rPr>
        <w:t>комісаріатами у порядку черговості оформлення висновків.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lastRenderedPageBreak/>
        <w:t>41. У разі коли внаслідок залучення під час мобілізації транспортний засіб або техніка були знищені, їх власнику відшкодовується майнова шкода, визначена за результатами незалежної оцінки, проведеної</w:t>
      </w:r>
      <w:r w:rsidRPr="00C633AD">
        <w:rPr>
          <w:color w:val="333333"/>
          <w:sz w:val="24"/>
          <w:szCs w:val="24"/>
          <w:lang w:val="uk-UA"/>
        </w:rPr>
        <w:t xml:space="preserve"> відповідно до законодавства про оцінку майна, майнових прав та професійну оціночну діяльність, на дату проведення такої оцінки.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Визначення майнової шкоди здійснюється за рахунок коштів державного бюджету, призначених для фінансування військових формувань,</w:t>
      </w:r>
      <w:r w:rsidRPr="00C633AD">
        <w:rPr>
          <w:color w:val="333333"/>
          <w:sz w:val="24"/>
          <w:szCs w:val="24"/>
          <w:lang w:val="uk-UA"/>
        </w:rPr>
        <w:t xml:space="preserve"> для задоволення потреб яких залучалися транспортні засоби і техніка.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Звіт про оцінку майна разом з документами, які підтверджують знищення транспортного засобу або техніки, військові формування надають власнику транспортного засобу і техніки.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Відшкодуванн</w:t>
      </w:r>
      <w:r w:rsidRPr="00C633AD">
        <w:rPr>
          <w:color w:val="333333"/>
          <w:sz w:val="24"/>
          <w:szCs w:val="24"/>
          <w:lang w:val="uk-UA"/>
        </w:rPr>
        <w:t>я майнової шкоди здійснюється за рахунок коштів державного бюджету протягом п’яти наступних бюджетних періодів після оголошення демобілізації у порядку, встановленому пунктами 38-40 цього Положення.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42. Транспортні засоби і техніка, які були знищені внаслі</w:t>
      </w:r>
      <w:r w:rsidRPr="00C633AD">
        <w:rPr>
          <w:color w:val="333333"/>
          <w:sz w:val="24"/>
          <w:szCs w:val="24"/>
          <w:lang w:val="uk-UA"/>
        </w:rPr>
        <w:t>док їх залучення під час мобілізації, підлягають списанню з балансового обліку підприємств, установ та організацій на підставі наданих військовими формуваннями документів, які підтверджують знищення таких транспортних засобів і техніки.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43. Спори, пов’язан</w:t>
      </w:r>
      <w:r w:rsidRPr="00C633AD">
        <w:rPr>
          <w:color w:val="333333"/>
          <w:sz w:val="24"/>
          <w:szCs w:val="24"/>
          <w:lang w:val="uk-UA"/>
        </w:rPr>
        <w:t>і з виплатою компенсації шкоди, завданої транспортним засобам і техніці внаслідок їх залучення під час мобілізації, та відшкодування майнової шкоди за знищені транспортні засоби і техніку розв’язуються в судовому порядку.</w:t>
      </w:r>
    </w:p>
    <w:p w:rsidR="00F40CF7" w:rsidRPr="00C633AD" w:rsidRDefault="002F48FE">
      <w:pPr>
        <w:rPr>
          <w:lang w:val="uk-UA"/>
        </w:rPr>
      </w:pPr>
      <w:r w:rsidRPr="00C633AD">
        <w:rPr>
          <w:lang w:val="uk-UA"/>
        </w:rPr>
        <w:pict>
          <v:rect id="_x0000_i1025" style="width:0;height:1.5pt" o:hralign="center" o:hrstd="t" o:hr="t" fillcolor="#a0a0a0" stroked="f"/>
        </w:pict>
      </w: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6"/>
        <w:gridCol w:w="4819"/>
      </w:tblGrid>
      <w:tr w:rsidR="00F40CF7" w:rsidRPr="00C633AD">
        <w:trPr>
          <w:trHeight w:val="1055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F40CF7">
            <w:pPr>
              <w:spacing w:before="160" w:after="320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Додаток 1</w:t>
            </w:r>
          </w:p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 Положення</w:t>
            </w:r>
          </w:p>
        </w:tc>
      </w:tr>
    </w:tbl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C00909"/>
          <w:sz w:val="28"/>
          <w:szCs w:val="28"/>
          <w:u w:val="single"/>
          <w:lang w:val="uk-UA"/>
        </w:rPr>
      </w:pPr>
      <w:hyperlink r:id="rId4">
        <w:r w:rsidRPr="00C633AD">
          <w:rPr>
            <w:b/>
            <w:color w:val="C00909"/>
            <w:sz w:val="28"/>
            <w:szCs w:val="28"/>
            <w:u w:val="single"/>
            <w:lang w:val="uk-UA"/>
          </w:rPr>
          <w:t>ВІДОМІСТЬ</w:t>
        </w:r>
      </w:hyperlink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про наявність і технічний стан транспортних засобів і техніки, а також про громадян, які працюють на підприємстві, в установі та організації н</w:t>
      </w:r>
      <w:r w:rsidRPr="00C633AD">
        <w:rPr>
          <w:b/>
          <w:color w:val="333333"/>
          <w:sz w:val="28"/>
          <w:szCs w:val="28"/>
          <w:lang w:val="uk-UA"/>
        </w:rPr>
        <w:t>а таких транспортних засобах і техніці</w:t>
      </w:r>
    </w:p>
    <w:p w:rsidR="00F40CF7" w:rsidRPr="00C633AD" w:rsidRDefault="002F48FE">
      <w:pPr>
        <w:rPr>
          <w:lang w:val="uk-UA"/>
        </w:rPr>
      </w:pPr>
      <w:r w:rsidRPr="00C633AD">
        <w:rPr>
          <w:lang w:val="uk-UA"/>
        </w:rPr>
        <w:pict>
          <v:rect id="_x0000_i1026" style="width:0;height:1.5pt" o:hralign="center" o:hrstd="t" o:hr="t" fillcolor="#a0a0a0" stroked="f"/>
        </w:pict>
      </w:r>
    </w:p>
    <w:tbl>
      <w:tblPr>
        <w:tblStyle w:val="a7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6"/>
        <w:gridCol w:w="4819"/>
      </w:tblGrid>
      <w:tr w:rsidR="00F40CF7" w:rsidRPr="00C633AD">
        <w:trPr>
          <w:trHeight w:val="1055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F40CF7">
            <w:pPr>
              <w:spacing w:before="160" w:after="320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Додаток 2</w:t>
            </w:r>
          </w:p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lastRenderedPageBreak/>
              <w:t>до Положення</w:t>
            </w:r>
          </w:p>
        </w:tc>
      </w:tr>
    </w:tbl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lastRenderedPageBreak/>
        <w:t>ВИМОГИ</w:t>
      </w:r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до укомплектованості транспортних засобів і техніки запасними частинами, шанцевим інструментом і заправним інвентарем</w:t>
      </w:r>
    </w:p>
    <w:tbl>
      <w:tblPr>
        <w:tblStyle w:val="a8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12"/>
        <w:gridCol w:w="1585"/>
        <w:gridCol w:w="1221"/>
        <w:gridCol w:w="3207"/>
      </w:tblGrid>
      <w:tr w:rsidR="00F40CF7" w:rsidRPr="00C633AD">
        <w:trPr>
          <w:trHeight w:val="1190"/>
        </w:trPr>
        <w:tc>
          <w:tcPr>
            <w:tcW w:w="30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Примітка</w:t>
            </w:r>
          </w:p>
        </w:tc>
      </w:tr>
      <w:tr w:rsidR="00F40CF7" w:rsidRPr="00C633AD">
        <w:trPr>
          <w:trHeight w:val="905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автомобілів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Лампа фари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штук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автомобілів усіх марок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Лампа підфарника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117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Свічка запальна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автомобілів з карбюраторним двигуном</w:t>
            </w:r>
          </w:p>
        </w:tc>
      </w:tr>
      <w:tr w:rsidR="00F40CF7" w:rsidRPr="00C633AD">
        <w:trPr>
          <w:trHeight w:val="117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Пас вентилятора (водяного насоса)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автомобілів усіх марок</w:t>
            </w:r>
          </w:p>
        </w:tc>
      </w:tr>
      <w:tr w:rsidR="00F40CF7" w:rsidRPr="00C633AD">
        <w:trPr>
          <w:trHeight w:val="144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Пас компресора (генератора)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автомобілів з дизельним двигуном або пневмоприводом гальм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lastRenderedPageBreak/>
              <w:t>Автомобільна аптечка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автомобілів усіх марок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Лопата штикова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Сокира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Відро (каністра) для води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Бачок (каністра) для масла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144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Бідон (каністра) для додаткового палива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тільки для автомобілів, які не мають запасу ходу за паливом до 500 кілометрів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Трос буксирний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на кожен автомобіль</w:t>
            </w:r>
          </w:p>
        </w:tc>
      </w:tr>
      <w:tr w:rsidR="00F40CF7" w:rsidRPr="00C633AD">
        <w:trPr>
          <w:trHeight w:val="890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гусеничних і колісних тракторів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Лампа фари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штук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тракторів усіх марок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Свічка запальна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lastRenderedPageBreak/>
              <w:t>Пас вентилятора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Пас генератора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Лопата штикова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Сокира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колісних тракторів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Відро (каністра) для води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Бачок (каністра) для масла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штук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колісних тракторів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Трос буксирний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на кожен трактор</w:t>
            </w:r>
          </w:p>
        </w:tc>
      </w:tr>
      <w:tr w:rsidR="00F40CF7" w:rsidRPr="00C633AD">
        <w:trPr>
          <w:trHeight w:val="890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дорожньо-будівельної та підйомно-транспортної техніки</w:t>
            </w:r>
          </w:p>
        </w:tc>
      </w:tr>
      <w:tr w:rsidR="00F40CF7" w:rsidRPr="00C633AD">
        <w:trPr>
          <w:trHeight w:val="117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Лампа фари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штук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всіх автогрейдерів, екскаваторів і катків</w:t>
            </w:r>
          </w:p>
        </w:tc>
      </w:tr>
      <w:tr w:rsidR="00F40CF7" w:rsidRPr="00C633AD">
        <w:trPr>
          <w:trHeight w:val="227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Свічка запальна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 xml:space="preserve">для автогрейдерів, екскаваторів, кранів самохідних, автонавантажувачів і </w:t>
            </w:r>
            <w:r w:rsidRPr="00C633AD">
              <w:rPr>
                <w:color w:val="333333"/>
                <w:sz w:val="24"/>
                <w:szCs w:val="24"/>
                <w:lang w:val="uk-UA"/>
              </w:rPr>
              <w:lastRenderedPageBreak/>
              <w:t>електростанцій з карбюраторним двигуном</w:t>
            </w:r>
          </w:p>
        </w:tc>
      </w:tr>
      <w:tr w:rsidR="00F40CF7" w:rsidRPr="00C633AD">
        <w:trPr>
          <w:trHeight w:val="117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lastRenderedPageBreak/>
              <w:t>Пас вентилятора (водяного насоса)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техніки з дизельними та карбюраторними двигунами</w:t>
            </w:r>
          </w:p>
        </w:tc>
      </w:tr>
      <w:tr w:rsidR="00F40CF7" w:rsidRPr="00C633AD">
        <w:trPr>
          <w:trHeight w:val="227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Пас компресора (генератора)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автогрейдерів, екскаваторів, кранів на пневмоходу, автонавантажувачів з дизельним двигуном і пневмоприводом гальм</w:t>
            </w:r>
          </w:p>
        </w:tc>
      </w:tr>
      <w:tr w:rsidR="00F40CF7" w:rsidRPr="00C633AD">
        <w:trPr>
          <w:trHeight w:val="20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Лопата штикова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автогрейдерів, екскаваторів, кранів на пневмоколісному ходу, автонавантажувачів і електростанцій усіх типів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Сокира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Відро (каністра) для води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89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Бачок (каністра) для масла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</w:tr>
      <w:tr w:rsidR="00F40CF7" w:rsidRPr="00C633AD">
        <w:trPr>
          <w:trHeight w:val="117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lastRenderedPageBreak/>
              <w:t>Трос буксирний або буксир жорсткий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-“-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автогрейдерів та автонавантажувачів</w:t>
            </w:r>
          </w:p>
        </w:tc>
      </w:tr>
      <w:tr w:rsidR="00F40CF7" w:rsidRPr="00C633AD">
        <w:trPr>
          <w:trHeight w:val="890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Для суден всіх типів</w:t>
            </w:r>
          </w:p>
        </w:tc>
      </w:tr>
      <w:tr w:rsidR="00F40CF7" w:rsidRPr="00C633AD">
        <w:trPr>
          <w:trHeight w:val="200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Одиночний комплект запасних частин, інструментів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комплектів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320" w:after="320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на кожний зразок суднового устаткування відповідно до технічної документації та опису запасних частин, інструментів</w:t>
            </w:r>
          </w:p>
        </w:tc>
      </w:tr>
    </w:tbl>
    <w:p w:rsidR="00F40CF7" w:rsidRPr="00C633AD" w:rsidRDefault="002F48FE">
      <w:pPr>
        <w:rPr>
          <w:lang w:val="uk-UA"/>
        </w:rPr>
      </w:pPr>
      <w:r w:rsidRPr="00C633AD">
        <w:rPr>
          <w:lang w:val="uk-UA"/>
        </w:rPr>
        <w:pict>
          <v:rect id="_x0000_i1027" style="width:0;height:1.5pt" o:hralign="center" o:hrstd="t" o:hr="t" fillcolor="#a0a0a0" stroked="f"/>
        </w:pict>
      </w:r>
    </w:p>
    <w:tbl>
      <w:tblPr>
        <w:tblStyle w:val="a9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6"/>
        <w:gridCol w:w="4819"/>
      </w:tblGrid>
      <w:tr w:rsidR="00F40CF7" w:rsidRPr="00C633AD">
        <w:trPr>
          <w:trHeight w:val="1055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F40CF7">
            <w:pPr>
              <w:spacing w:before="160" w:after="320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Додаток 3</w:t>
            </w:r>
          </w:p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 Положення</w:t>
            </w:r>
          </w:p>
        </w:tc>
      </w:tr>
    </w:tbl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ОСНОВНІ ВИМОГИ</w:t>
      </w:r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до експлуатаційно-технічних характеристик морських (річкових) транспортних засобів, призначених для задоволення потреб військових формувань в особливий період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 xml:space="preserve">1. Морські (річкові) транспортні засоби, у тому числі промислові та спеціальні судна, призначені </w:t>
      </w:r>
      <w:r w:rsidRPr="00C633AD">
        <w:rPr>
          <w:color w:val="333333"/>
          <w:sz w:val="24"/>
          <w:szCs w:val="24"/>
          <w:lang w:val="uk-UA"/>
        </w:rPr>
        <w:t>для задоволення потреб військових формувань в особливий період, повинні бути повністю укомплектовані необхідними агрегатами, вузлами, механізмами, приладами, спеціальним і робочим обладнанням та мати запас ходу не менше ніж одна специфікаційна автономність</w:t>
      </w:r>
      <w:r w:rsidRPr="00C633AD">
        <w:rPr>
          <w:color w:val="333333"/>
          <w:sz w:val="24"/>
          <w:szCs w:val="24"/>
          <w:lang w:val="uk-UA"/>
        </w:rPr>
        <w:t>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2. Корпус судна повинен бути герметичним, забезпечувати визначену паспортними (формулярними) даними остійність та незатоплюваність судна.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3. Якірний та швартовний пристрої повинні забезпечувати надійну та безпечну стоянку судна.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4. Головна енергетична ус</w:t>
      </w:r>
      <w:r w:rsidRPr="00C633AD">
        <w:rPr>
          <w:color w:val="333333"/>
          <w:sz w:val="24"/>
          <w:szCs w:val="24"/>
          <w:lang w:val="uk-UA"/>
        </w:rPr>
        <w:t>тановка повинна забезпечувати приведення в дію рушіїв судна та мати ресурс не менш як 25 відсотків ресурсу, призначеного до її наступного ремонту.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lastRenderedPageBreak/>
        <w:t>5. Кермовий пристрій повинен забезпечувати утримання на курсі, маневреність та поворотність судна, час перекл</w:t>
      </w:r>
      <w:r w:rsidRPr="00C633AD">
        <w:rPr>
          <w:color w:val="333333"/>
          <w:sz w:val="24"/>
          <w:szCs w:val="24"/>
          <w:lang w:val="uk-UA"/>
        </w:rPr>
        <w:t>адки керма з крайнього лівого до крайнього правого положення не повинен перевищувати час, визначений паспортними даними.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6. Сигнальні щогли повинні забезпечувати несення необхідної кількості сигнальних засобів для безпеки мореплавства.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7. Допоміжні механіз</w:t>
      </w:r>
      <w:r w:rsidRPr="00C633AD">
        <w:rPr>
          <w:color w:val="333333"/>
          <w:sz w:val="24"/>
          <w:szCs w:val="24"/>
          <w:lang w:val="uk-UA"/>
        </w:rPr>
        <w:t>ми повинні забезпечувати роботу головних механізмів, постачання судна електроенергією та іншими видами енергії, забезпечення функціонування суднових систем і пристроїв.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8. Навігаційне обладнання та сигнальні засоби повинні забезпечувати визначення місця пе</w:t>
      </w:r>
      <w:r w:rsidRPr="00C633AD">
        <w:rPr>
          <w:color w:val="333333"/>
          <w:sz w:val="24"/>
          <w:szCs w:val="24"/>
          <w:lang w:val="uk-UA"/>
        </w:rPr>
        <w:t>ребування судна в морі, видачу із встановленою точністю даних курсу та швидкості.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9. Радіообладнання повинне забезпечувати надійний зв’язок відповідно до визначеного району плавання суден.</w:t>
      </w:r>
    </w:p>
    <w:p w:rsidR="00F40CF7" w:rsidRPr="00C633AD" w:rsidRDefault="002F48FE">
      <w:pPr>
        <w:shd w:val="clear" w:color="auto" w:fill="FFFFFF"/>
        <w:spacing w:after="160"/>
        <w:ind w:firstLine="460"/>
        <w:jc w:val="both"/>
        <w:rPr>
          <w:color w:val="333333"/>
          <w:sz w:val="24"/>
          <w:szCs w:val="24"/>
          <w:lang w:val="uk-UA"/>
        </w:rPr>
      </w:pPr>
      <w:r w:rsidRPr="00C633AD">
        <w:rPr>
          <w:color w:val="333333"/>
          <w:sz w:val="24"/>
          <w:szCs w:val="24"/>
          <w:lang w:val="uk-UA"/>
        </w:rPr>
        <w:t>10. Рятувальні засоби повинні забезпечувати рятування екіпажу суден</w:t>
      </w:r>
      <w:r w:rsidRPr="00C633AD">
        <w:rPr>
          <w:color w:val="333333"/>
          <w:sz w:val="24"/>
          <w:szCs w:val="24"/>
          <w:lang w:val="uk-UA"/>
        </w:rPr>
        <w:t xml:space="preserve"> та пасажирів.</w:t>
      </w:r>
    </w:p>
    <w:p w:rsidR="00F40CF7" w:rsidRPr="00C633AD" w:rsidRDefault="002F48FE">
      <w:pPr>
        <w:rPr>
          <w:lang w:val="uk-UA"/>
        </w:rPr>
      </w:pPr>
      <w:r w:rsidRPr="00C633AD">
        <w:rPr>
          <w:lang w:val="uk-UA"/>
        </w:rPr>
        <w:pict>
          <v:rect id="_x0000_i1028" style="width:0;height:1.5pt" o:hralign="center" o:hrstd="t" o:hr="t" fillcolor="#a0a0a0" stroked="f"/>
        </w:pict>
      </w:r>
    </w:p>
    <w:tbl>
      <w:tblPr>
        <w:tblStyle w:val="a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6"/>
        <w:gridCol w:w="4819"/>
      </w:tblGrid>
      <w:tr w:rsidR="00F40CF7" w:rsidRPr="00C633AD">
        <w:trPr>
          <w:trHeight w:val="1055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F40CF7">
            <w:pPr>
              <w:spacing w:before="160" w:after="320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Додаток 4</w:t>
            </w:r>
          </w:p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 Положення</w:t>
            </w:r>
          </w:p>
        </w:tc>
      </w:tr>
    </w:tbl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C00909"/>
          <w:sz w:val="28"/>
          <w:szCs w:val="28"/>
          <w:u w:val="single"/>
          <w:lang w:val="uk-UA"/>
        </w:rPr>
      </w:pPr>
      <w:hyperlink r:id="rId5">
        <w:r w:rsidRPr="00C633AD">
          <w:rPr>
            <w:b/>
            <w:color w:val="C00909"/>
            <w:sz w:val="28"/>
            <w:szCs w:val="28"/>
            <w:u w:val="single"/>
            <w:lang w:val="uk-UA"/>
          </w:rPr>
          <w:t>АКТ</w:t>
        </w:r>
      </w:hyperlink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приймання-передачі транспортних засобів і техніки</w:t>
      </w:r>
    </w:p>
    <w:tbl>
      <w:tblPr>
        <w:tblStyle w:val="ab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6"/>
        <w:gridCol w:w="4819"/>
      </w:tblGrid>
      <w:tr w:rsidR="00F40CF7" w:rsidRPr="00C633AD">
        <w:trPr>
          <w:trHeight w:val="1055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F40CF7">
            <w:pPr>
              <w:spacing w:before="160" w:after="320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Додаток 5</w:t>
            </w:r>
          </w:p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 Положення</w:t>
            </w:r>
          </w:p>
        </w:tc>
      </w:tr>
    </w:tbl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C00909"/>
          <w:sz w:val="28"/>
          <w:szCs w:val="28"/>
          <w:u w:val="single"/>
          <w:lang w:val="uk-UA"/>
        </w:rPr>
      </w:pPr>
      <w:hyperlink r:id="rId6">
        <w:r w:rsidRPr="00C633AD">
          <w:rPr>
            <w:b/>
            <w:color w:val="C00909"/>
            <w:sz w:val="28"/>
            <w:szCs w:val="28"/>
            <w:u w:val="single"/>
            <w:lang w:val="uk-UA"/>
          </w:rPr>
          <w:t>АКТ</w:t>
        </w:r>
      </w:hyperlink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приймання-передачі транспортних засобів і техніки (для морських (річкових) транспортних засобів і техніки)</w:t>
      </w:r>
    </w:p>
    <w:tbl>
      <w:tblPr>
        <w:tblStyle w:val="ac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6"/>
        <w:gridCol w:w="4819"/>
      </w:tblGrid>
      <w:tr w:rsidR="00F40CF7" w:rsidRPr="00C633AD">
        <w:trPr>
          <w:trHeight w:val="1055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F40CF7">
            <w:pPr>
              <w:spacing w:before="160" w:after="320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Додаток 6</w:t>
            </w:r>
          </w:p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lastRenderedPageBreak/>
              <w:t>до Положення</w:t>
            </w:r>
          </w:p>
        </w:tc>
      </w:tr>
    </w:tbl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C00909"/>
          <w:sz w:val="28"/>
          <w:szCs w:val="28"/>
          <w:u w:val="single"/>
          <w:lang w:val="uk-UA"/>
        </w:rPr>
      </w:pPr>
      <w:hyperlink r:id="rId7">
        <w:r w:rsidRPr="00C633AD">
          <w:rPr>
            <w:b/>
            <w:color w:val="C00909"/>
            <w:sz w:val="28"/>
            <w:szCs w:val="28"/>
            <w:u w:val="single"/>
            <w:lang w:val="uk-UA"/>
          </w:rPr>
          <w:t>АКТ</w:t>
        </w:r>
      </w:hyperlink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про повернення транспортних засобів і техніки, залучених під час мобілізації</w:t>
      </w:r>
    </w:p>
    <w:tbl>
      <w:tblPr>
        <w:tblStyle w:val="ad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6"/>
        <w:gridCol w:w="4819"/>
      </w:tblGrid>
      <w:tr w:rsidR="00F40CF7" w:rsidRPr="00C633AD">
        <w:trPr>
          <w:trHeight w:val="1055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F40CF7">
            <w:pPr>
              <w:spacing w:before="160" w:after="320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Додаток 7</w:t>
            </w:r>
          </w:p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 Положення</w:t>
            </w:r>
          </w:p>
        </w:tc>
      </w:tr>
    </w:tbl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C00909"/>
          <w:sz w:val="28"/>
          <w:szCs w:val="28"/>
          <w:u w:val="single"/>
          <w:lang w:val="uk-UA"/>
        </w:rPr>
      </w:pPr>
      <w:hyperlink r:id="rId8">
        <w:r w:rsidRPr="00C633AD">
          <w:rPr>
            <w:b/>
            <w:color w:val="C00909"/>
            <w:sz w:val="28"/>
            <w:szCs w:val="28"/>
            <w:u w:val="single"/>
            <w:lang w:val="uk-UA"/>
          </w:rPr>
          <w:t>АКТ</w:t>
        </w:r>
      </w:hyperlink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про повернення транспортних засобів і техніки (для морських (річкових) транспортних засобів і техніки)</w:t>
      </w:r>
    </w:p>
    <w:tbl>
      <w:tblPr>
        <w:tblStyle w:val="ae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6"/>
        <w:gridCol w:w="4819"/>
      </w:tblGrid>
      <w:tr w:rsidR="00F40CF7" w:rsidRPr="00C633AD">
        <w:trPr>
          <w:trHeight w:val="1055"/>
        </w:trPr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F40CF7">
            <w:pPr>
              <w:spacing w:before="160" w:after="320"/>
              <w:rPr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Додаток 8</w:t>
            </w:r>
          </w:p>
          <w:p w:rsidR="00F40CF7" w:rsidRPr="00C633AD" w:rsidRDefault="002F48FE">
            <w:pPr>
              <w:spacing w:before="160" w:after="32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C633AD">
              <w:rPr>
                <w:color w:val="333333"/>
                <w:sz w:val="24"/>
                <w:szCs w:val="24"/>
                <w:lang w:val="uk-UA"/>
              </w:rPr>
              <w:t>до Положення</w:t>
            </w:r>
          </w:p>
        </w:tc>
      </w:tr>
    </w:tbl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C00909"/>
          <w:sz w:val="28"/>
          <w:szCs w:val="28"/>
          <w:u w:val="single"/>
          <w:lang w:val="uk-UA"/>
        </w:rPr>
      </w:pPr>
      <w:hyperlink r:id="rId9">
        <w:r w:rsidRPr="00C633AD">
          <w:rPr>
            <w:b/>
            <w:color w:val="C00909"/>
            <w:sz w:val="28"/>
            <w:szCs w:val="28"/>
            <w:u w:val="single"/>
            <w:lang w:val="uk-UA"/>
          </w:rPr>
          <w:t>ВИСНОВОК</w:t>
        </w:r>
      </w:hyperlink>
    </w:p>
    <w:p w:rsidR="00F40CF7" w:rsidRPr="00C633AD" w:rsidRDefault="002F48FE">
      <w:pPr>
        <w:shd w:val="clear" w:color="auto" w:fill="FFFFFF"/>
        <w:spacing w:before="160" w:after="160"/>
        <w:ind w:left="460" w:right="460"/>
        <w:jc w:val="center"/>
        <w:rPr>
          <w:b/>
          <w:color w:val="333333"/>
          <w:sz w:val="28"/>
          <w:szCs w:val="28"/>
          <w:lang w:val="uk-UA"/>
        </w:rPr>
      </w:pPr>
      <w:r w:rsidRPr="00C633AD">
        <w:rPr>
          <w:b/>
          <w:color w:val="333333"/>
          <w:sz w:val="28"/>
          <w:szCs w:val="28"/>
          <w:lang w:val="uk-UA"/>
        </w:rPr>
        <w:t>про здійснення виплати для компенсації шкоди, завданої транспортному засобу або техніці внаслідок їх залучення під час мобілізації (виплати май</w:t>
      </w:r>
      <w:r w:rsidRPr="00C633AD">
        <w:rPr>
          <w:b/>
          <w:color w:val="333333"/>
          <w:sz w:val="28"/>
          <w:szCs w:val="28"/>
          <w:lang w:val="uk-UA"/>
        </w:rPr>
        <w:t>нової шкоди за знищений транспортний засіб або знищену техніку)</w:t>
      </w:r>
    </w:p>
    <w:p w:rsidR="00F40CF7" w:rsidRPr="00C633AD" w:rsidRDefault="00F40CF7">
      <w:pPr>
        <w:rPr>
          <w:lang w:val="uk-UA"/>
        </w:rPr>
      </w:pPr>
    </w:p>
    <w:sectPr w:rsidR="00F40CF7" w:rsidRPr="00C633A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F7"/>
    <w:rsid w:val="002F48FE"/>
    <w:rsid w:val="00C633AD"/>
    <w:rsid w:val="00F4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ED661-49F2-43ED-8A2A-985AEF1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storage/app/sites/1/NPA/2015/405_postanova_2015/f444560n13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mu.gov.ua/storage/app/sites/1/NPA/2015/405_postanova_2015/f444560n137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mu.gov.ua/storage/app/sites/1/NPA/2015/405_postanova_2015/f444560n136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mu.gov.ua/storage/app/sites/1/NPA/2015/405_postanova_2015/f444560n135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kmu.gov.ua/storage/app/sites/1/NPA/2015/405_postanova_2015/f444560n134.doc" TargetMode="External"/><Relationship Id="rId9" Type="http://schemas.openxmlformats.org/officeDocument/2006/relationships/hyperlink" Target="https://www.kmu.gov.ua/storage/app/sites/1/NPA/2015/405_postanova_2015/f444560n139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18</Pages>
  <Words>20154</Words>
  <Characters>11489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2021-06-03T06:07:00Z</dcterms:created>
  <dcterms:modified xsi:type="dcterms:W3CDTF">2021-06-03T07:33:00Z</dcterms:modified>
</cp:coreProperties>
</file>