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62" w:rsidRPr="007D6C49" w:rsidRDefault="00D87962" w:rsidP="00D87962">
      <w:pPr>
        <w:spacing w:line="0" w:lineRule="atLeast"/>
        <w:ind w:left="5387" w:firstLine="142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7D6C49"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                                 </w:t>
      </w:r>
    </w:p>
    <w:p w:rsidR="00D87962" w:rsidRPr="007D6C49" w:rsidRDefault="00D87962" w:rsidP="00D87962">
      <w:pPr>
        <w:spacing w:line="0" w:lineRule="atLeast"/>
        <w:jc w:val="center"/>
        <w:rPr>
          <w:rFonts w:ascii="Times New Roman" w:hAnsi="Times New Roman" w:cs="Times New Roman"/>
          <w:sz w:val="36"/>
          <w:szCs w:val="24"/>
          <w:lang w:eastAsia="x-none"/>
        </w:rPr>
      </w:pPr>
      <w:r w:rsidRPr="007D6C49">
        <w:rPr>
          <w:rFonts w:ascii="Times New Roman" w:hAnsi="Times New Roman" w:cs="Times New Roman"/>
          <w:noProof/>
          <w:sz w:val="36"/>
          <w:lang w:eastAsia="uk-UA"/>
        </w:rPr>
        <w:drawing>
          <wp:inline distT="0" distB="0" distL="0" distR="0" wp14:anchorId="742F8951" wp14:editId="5EB3F165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C49">
        <w:rPr>
          <w:rFonts w:ascii="Times New Roman" w:hAnsi="Times New Roman" w:cs="Times New Roman"/>
          <w:sz w:val="36"/>
          <w:lang w:eastAsia="x-none"/>
        </w:rPr>
        <w:t xml:space="preserve">                                      </w:t>
      </w:r>
    </w:p>
    <w:p w:rsidR="00D87962" w:rsidRPr="007D6C49" w:rsidRDefault="00D87962" w:rsidP="00D87962">
      <w:pPr>
        <w:spacing w:line="0" w:lineRule="atLeast"/>
        <w:jc w:val="center"/>
        <w:rPr>
          <w:rFonts w:ascii="Times New Roman" w:hAnsi="Times New Roman" w:cs="Times New Roman"/>
          <w:b/>
          <w:caps/>
          <w:sz w:val="28"/>
          <w:lang w:eastAsia="x-none"/>
        </w:rPr>
      </w:pPr>
      <w:r w:rsidRPr="007D6C49">
        <w:rPr>
          <w:rFonts w:ascii="Times New Roman" w:hAnsi="Times New Roman" w:cs="Times New Roman"/>
          <w:b/>
          <w:caps/>
          <w:sz w:val="28"/>
          <w:lang w:eastAsia="x-none"/>
        </w:rPr>
        <w:t>здолбунівська міська рада</w:t>
      </w:r>
    </w:p>
    <w:p w:rsidR="00D87962" w:rsidRPr="007D6C49" w:rsidRDefault="00D87962" w:rsidP="00D87962">
      <w:pPr>
        <w:shd w:val="clear" w:color="auto" w:fill="FFFFFF"/>
        <w:spacing w:line="0" w:lineRule="atLeast"/>
        <w:jc w:val="center"/>
        <w:rPr>
          <w:rFonts w:ascii="Times New Roman" w:hAnsi="Times New Roman" w:cs="Times New Roman"/>
          <w:b/>
          <w:caps/>
          <w:sz w:val="28"/>
          <w:lang w:eastAsia="x-none"/>
        </w:rPr>
      </w:pPr>
      <w:r w:rsidRPr="007D6C49">
        <w:rPr>
          <w:rFonts w:ascii="Times New Roman" w:hAnsi="Times New Roman" w:cs="Times New Roman"/>
          <w:b/>
          <w:caps/>
          <w:sz w:val="28"/>
          <w:lang w:eastAsia="x-none"/>
        </w:rPr>
        <w:t>РІВНЕНСЬКОГО РАЙОНУ рівненської  області</w:t>
      </w:r>
    </w:p>
    <w:p w:rsidR="00D87962" w:rsidRPr="007D6C49" w:rsidRDefault="00D87962" w:rsidP="00D87962">
      <w:pPr>
        <w:rPr>
          <w:rFonts w:ascii="Times New Roman" w:hAnsi="Times New Roman" w:cs="Times New Roman"/>
          <w:b/>
          <w:bCs/>
          <w:sz w:val="28"/>
          <w:szCs w:val="28"/>
          <w:lang w:val="ru-RU" w:eastAsia="x-none"/>
        </w:rPr>
      </w:pPr>
      <w:r w:rsidRPr="007D6C49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                                                          восьме скликання</w:t>
      </w:r>
    </w:p>
    <w:p w:rsidR="00D87962" w:rsidRPr="007D6C49" w:rsidRDefault="00D87962" w:rsidP="00D87962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87962" w:rsidRPr="007D6C49" w:rsidRDefault="00D87962" w:rsidP="00D8796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7D6C49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7D6C49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Н</w:t>
      </w:r>
      <w:proofErr w:type="spellEnd"/>
      <w:r w:rsidRPr="007D6C49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Я</w:t>
      </w:r>
    </w:p>
    <w:p w:rsidR="00D87962" w:rsidRPr="007D6C49" w:rsidRDefault="00D87962" w:rsidP="00D8796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7962" w:rsidRPr="007D6C49" w:rsidRDefault="00D87962" w:rsidP="00D87962">
      <w:pPr>
        <w:rPr>
          <w:rFonts w:ascii="Times New Roman" w:hAnsi="Times New Roman" w:cs="Times New Roman"/>
          <w:sz w:val="28"/>
          <w:szCs w:val="24"/>
        </w:rPr>
      </w:pPr>
      <w:r w:rsidRPr="007D6C49">
        <w:rPr>
          <w:rFonts w:ascii="Times New Roman" w:hAnsi="Times New Roman" w:cs="Times New Roman"/>
          <w:sz w:val="28"/>
          <w:szCs w:val="28"/>
        </w:rPr>
        <w:t xml:space="preserve"> від 24 квітня 2</w:t>
      </w:r>
      <w:r w:rsidRPr="007D6C49">
        <w:rPr>
          <w:rFonts w:ascii="Times New Roman" w:hAnsi="Times New Roman" w:cs="Times New Roman"/>
          <w:sz w:val="28"/>
        </w:rPr>
        <w:t xml:space="preserve">024 року                                                                          № </w:t>
      </w:r>
      <w:r w:rsidR="007B595C">
        <w:rPr>
          <w:rFonts w:ascii="Times New Roman" w:hAnsi="Times New Roman" w:cs="Times New Roman"/>
          <w:sz w:val="28"/>
        </w:rPr>
        <w:t>2119</w:t>
      </w:r>
    </w:p>
    <w:p w:rsidR="00D87962" w:rsidRDefault="00D87962" w:rsidP="00D87962">
      <w:pPr>
        <w:pStyle w:val="Standard"/>
        <w:jc w:val="both"/>
        <w:rPr>
          <w:szCs w:val="28"/>
          <w:lang w:eastAsia="en-US"/>
        </w:rPr>
      </w:pP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Про схвалення звернення депутатів  Здолбунівської  </w:t>
      </w:r>
    </w:p>
    <w:p w:rsidR="00D87962" w:rsidRDefault="00D87962" w:rsidP="00D87962">
      <w:pPr>
        <w:pStyle w:val="Standard"/>
        <w:jc w:val="both"/>
      </w:pPr>
      <w:r>
        <w:rPr>
          <w:rStyle w:val="a3"/>
          <w:rFonts w:eastAsia="Calibri"/>
          <w:color w:val="000000"/>
          <w:szCs w:val="28"/>
          <w:lang w:eastAsia="en-US"/>
        </w:rPr>
        <w:t>міської ради до  Президента України,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Верховної Ради України, Кабінету Міністрів України,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Міністерства захисту довкілля та природних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ресурсів України щодо забезпечення дотримання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законних гарантій населення </w:t>
      </w:r>
      <w:proofErr w:type="spellStart"/>
      <w:r>
        <w:rPr>
          <w:rFonts w:eastAsia="Calibri"/>
          <w:color w:val="000000"/>
          <w:szCs w:val="28"/>
          <w:lang w:eastAsia="en-US"/>
        </w:rPr>
        <w:t>тридцятикілометрової</w:t>
      </w:r>
      <w:proofErr w:type="spellEnd"/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зони ризику Хмельницької АЕС та недопущення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нехтування їх правами та інтересами при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спорудженні енергоблоків №5 та №6 на майданчику</w:t>
      </w:r>
    </w:p>
    <w:p w:rsidR="00D87962" w:rsidRDefault="00D87962" w:rsidP="00D87962">
      <w:pPr>
        <w:pStyle w:val="Standard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Хмельницької атомної електростанції</w:t>
      </w:r>
    </w:p>
    <w:p w:rsidR="00D87962" w:rsidRDefault="00D87962" w:rsidP="00D87962">
      <w:pPr>
        <w:pStyle w:val="Standard"/>
        <w:jc w:val="both"/>
      </w:pPr>
    </w:p>
    <w:p w:rsidR="00D87962" w:rsidRDefault="00D87962" w:rsidP="00D87962">
      <w:pPr>
        <w:pStyle w:val="Standard"/>
        <w:spacing w:after="160"/>
        <w:ind w:firstLine="567"/>
        <w:jc w:val="both"/>
        <w:rPr>
          <w:rStyle w:val="a3"/>
          <w:rFonts w:eastAsia="Calibri"/>
          <w:szCs w:val="28"/>
          <w:lang w:eastAsia="en-US"/>
        </w:rPr>
      </w:pPr>
      <w:r>
        <w:rPr>
          <w:rStyle w:val="a3"/>
          <w:rFonts w:eastAsia="Calibri"/>
          <w:color w:val="000000"/>
          <w:szCs w:val="28"/>
          <w:lang w:eastAsia="en-US"/>
        </w:rPr>
        <w:t xml:space="preserve">Враховуючи наміри держави щодо спорудження енергоблоків №5 та №6 на майданчику Хмельницької атомної електростанції, з метою дотримання законних прав та інтересів населення, яке проживає на території зони спостереження, під час будівництва та експлуатації енергоблоків Хмельницької атомної електростанції, </w:t>
      </w:r>
      <w:r>
        <w:rPr>
          <w:rStyle w:val="a3"/>
          <w:rFonts w:eastAsia="Calibri"/>
          <w:szCs w:val="28"/>
          <w:lang w:eastAsia="en-US"/>
        </w:rPr>
        <w:t>відповідно до ст. 25 Закону України «Про місцеве самоврядування в Україні»,</w:t>
      </w:r>
      <w:r w:rsidR="007B595C">
        <w:rPr>
          <w:rStyle w:val="a3"/>
          <w:rFonts w:eastAsia="Calibri"/>
          <w:szCs w:val="28"/>
          <w:lang w:eastAsia="en-US"/>
        </w:rPr>
        <w:t xml:space="preserve"> </w:t>
      </w:r>
      <w:r>
        <w:rPr>
          <w:rStyle w:val="a3"/>
          <w:rFonts w:eastAsia="Calibri"/>
          <w:szCs w:val="28"/>
          <w:lang w:eastAsia="en-US"/>
        </w:rPr>
        <w:t xml:space="preserve"> Здолбунівська міська рада</w:t>
      </w:r>
    </w:p>
    <w:p w:rsidR="00D87962" w:rsidRDefault="00D87962" w:rsidP="00D87962">
      <w:pPr>
        <w:pStyle w:val="Standard"/>
        <w:spacing w:after="160"/>
        <w:ind w:firstLine="567"/>
        <w:jc w:val="center"/>
      </w:pPr>
      <w:r>
        <w:rPr>
          <w:rStyle w:val="a3"/>
          <w:rFonts w:eastAsia="Calibri"/>
          <w:szCs w:val="28"/>
          <w:lang w:eastAsia="en-US"/>
        </w:rPr>
        <w:t>ВИРІШИЛА:</w:t>
      </w:r>
    </w:p>
    <w:p w:rsidR="00D87962" w:rsidRDefault="007B595C" w:rsidP="00D87962">
      <w:pPr>
        <w:pStyle w:val="Standard"/>
        <w:tabs>
          <w:tab w:val="left" w:pos="567"/>
        </w:tabs>
        <w:jc w:val="both"/>
      </w:pPr>
      <w:r>
        <w:rPr>
          <w:rStyle w:val="a3"/>
          <w:rFonts w:eastAsia="Calibri"/>
          <w:szCs w:val="28"/>
          <w:lang w:eastAsia="en-US"/>
        </w:rPr>
        <w:tab/>
        <w:t xml:space="preserve">1. Перенести схвалення </w:t>
      </w:r>
      <w:r w:rsidR="00D87962">
        <w:rPr>
          <w:rStyle w:val="a3"/>
          <w:rFonts w:eastAsia="Calibri"/>
          <w:szCs w:val="28"/>
          <w:lang w:eastAsia="en-US"/>
        </w:rPr>
        <w:t xml:space="preserve"> звернення до </w:t>
      </w:r>
      <w:r w:rsidR="00D87962">
        <w:rPr>
          <w:rStyle w:val="a3"/>
          <w:rFonts w:eastAsia="Calibri"/>
          <w:color w:val="000000"/>
          <w:szCs w:val="28"/>
          <w:lang w:eastAsia="en-US"/>
        </w:rPr>
        <w:t xml:space="preserve">Президента України, Верховної Ради України, Кабінету Міністрів України, Міністерства захисту довкілля та природних ресурсів України щодо забезпечення дотримання законних гарантій населення </w:t>
      </w:r>
      <w:proofErr w:type="spellStart"/>
      <w:r w:rsidR="00D87962">
        <w:rPr>
          <w:rStyle w:val="a3"/>
          <w:rFonts w:eastAsia="Calibri"/>
          <w:color w:val="000000"/>
          <w:szCs w:val="28"/>
          <w:lang w:eastAsia="en-US"/>
        </w:rPr>
        <w:t>тридцятикілометрової</w:t>
      </w:r>
      <w:proofErr w:type="spellEnd"/>
      <w:r w:rsidR="00D87962">
        <w:rPr>
          <w:rStyle w:val="a3"/>
          <w:rFonts w:eastAsia="Calibri"/>
          <w:color w:val="000000"/>
          <w:szCs w:val="28"/>
          <w:lang w:eastAsia="en-US"/>
        </w:rPr>
        <w:t xml:space="preserve"> зони ризику Хмельницької АЕС та недопущення нехтування їх правами та інтересами при спорудженні енергоблоків №5 та №6 на майданчику Хмельницької атомної електростанції</w:t>
      </w:r>
      <w:r w:rsidR="009C451B">
        <w:rPr>
          <w:rStyle w:val="a3"/>
          <w:rFonts w:eastAsia="Calibri"/>
          <w:szCs w:val="28"/>
          <w:lang w:eastAsia="en-US"/>
        </w:rPr>
        <w:t xml:space="preserve"> </w:t>
      </w:r>
      <w:r>
        <w:rPr>
          <w:rStyle w:val="a3"/>
          <w:rFonts w:eastAsia="Calibri"/>
          <w:szCs w:val="28"/>
          <w:lang w:eastAsia="en-US"/>
        </w:rPr>
        <w:t xml:space="preserve"> для доопрацювання</w:t>
      </w:r>
      <w:r w:rsidR="009C451B">
        <w:rPr>
          <w:rStyle w:val="a3"/>
          <w:rFonts w:eastAsia="Calibri"/>
          <w:szCs w:val="28"/>
          <w:lang w:eastAsia="en-US"/>
        </w:rPr>
        <w:t xml:space="preserve"> тексту звер</w:t>
      </w:r>
      <w:r>
        <w:rPr>
          <w:rStyle w:val="a3"/>
          <w:rFonts w:eastAsia="Calibri"/>
          <w:szCs w:val="28"/>
          <w:lang w:eastAsia="en-US"/>
        </w:rPr>
        <w:t>нення</w:t>
      </w:r>
      <w:r w:rsidR="00D87962">
        <w:rPr>
          <w:rStyle w:val="a3"/>
          <w:rFonts w:eastAsia="Calibri"/>
          <w:szCs w:val="28"/>
          <w:lang w:eastAsia="en-US"/>
        </w:rPr>
        <w:t>.</w:t>
      </w:r>
    </w:p>
    <w:p w:rsidR="00D87962" w:rsidRDefault="00D87962" w:rsidP="00D87962">
      <w:pPr>
        <w:pStyle w:val="Standard"/>
        <w:spacing w:after="160"/>
        <w:rPr>
          <w:rStyle w:val="a3"/>
          <w:rFonts w:eastAsia="Calibri"/>
          <w:szCs w:val="28"/>
          <w:lang w:eastAsia="en-US"/>
        </w:rPr>
      </w:pPr>
    </w:p>
    <w:p w:rsidR="007B595C" w:rsidRDefault="007B595C" w:rsidP="00D87962">
      <w:pPr>
        <w:pStyle w:val="Standard"/>
        <w:spacing w:after="160"/>
        <w:rPr>
          <w:rStyle w:val="a3"/>
          <w:rFonts w:eastAsia="Calibri"/>
          <w:szCs w:val="28"/>
          <w:lang w:eastAsia="en-US"/>
        </w:rPr>
      </w:pPr>
    </w:p>
    <w:p w:rsidR="007B595C" w:rsidRDefault="007B595C" w:rsidP="00D87962">
      <w:pPr>
        <w:pStyle w:val="Standard"/>
        <w:spacing w:after="160"/>
        <w:rPr>
          <w:rFonts w:eastAsia="Calibri"/>
          <w:szCs w:val="28"/>
          <w:lang w:eastAsia="en-US"/>
        </w:rPr>
      </w:pPr>
    </w:p>
    <w:p w:rsidR="00D87962" w:rsidRDefault="00C91F45" w:rsidP="00D87962">
      <w:pPr>
        <w:pStyle w:val="Standard"/>
        <w:tabs>
          <w:tab w:val="left" w:pos="567"/>
        </w:tabs>
        <w:jc w:val="both"/>
      </w:pPr>
      <w:proofErr w:type="spellStart"/>
      <w:r>
        <w:rPr>
          <w:rStyle w:val="a3"/>
          <w:rFonts w:eastAsia="Calibri"/>
          <w:color w:val="000000"/>
          <w:szCs w:val="28"/>
          <w:lang w:val="ru-RU" w:eastAsia="en-US"/>
        </w:rPr>
        <w:t>Міський</w:t>
      </w:r>
      <w:proofErr w:type="spellEnd"/>
      <w:r w:rsidR="00D87962">
        <w:rPr>
          <w:rStyle w:val="a3"/>
          <w:rFonts w:eastAsia="Calibri"/>
          <w:color w:val="000000"/>
          <w:szCs w:val="28"/>
          <w:lang w:val="ru-RU" w:eastAsia="en-US"/>
        </w:rPr>
        <w:t xml:space="preserve"> голова </w:t>
      </w:r>
      <w:r w:rsidR="00D87962">
        <w:rPr>
          <w:rStyle w:val="a3"/>
          <w:rFonts w:eastAsia="Calibri"/>
          <w:color w:val="000000"/>
          <w:szCs w:val="28"/>
          <w:lang w:val="ru-RU" w:eastAsia="en-US"/>
        </w:rPr>
        <w:tab/>
      </w:r>
      <w:r w:rsidR="00D87962">
        <w:rPr>
          <w:rStyle w:val="a3"/>
          <w:rFonts w:eastAsia="Calibri"/>
          <w:color w:val="000000"/>
          <w:szCs w:val="28"/>
          <w:lang w:val="ru-RU" w:eastAsia="en-US"/>
        </w:rPr>
        <w:tab/>
      </w:r>
      <w:r w:rsidR="00D87962">
        <w:rPr>
          <w:rStyle w:val="a3"/>
          <w:rFonts w:eastAsia="Calibri"/>
          <w:color w:val="000000"/>
          <w:szCs w:val="28"/>
          <w:lang w:val="ru-RU" w:eastAsia="en-US"/>
        </w:rPr>
        <w:tab/>
        <w:t xml:space="preserve">          </w:t>
      </w:r>
      <w:r>
        <w:rPr>
          <w:rStyle w:val="a3"/>
          <w:rFonts w:eastAsia="Calibri"/>
          <w:color w:val="000000"/>
          <w:szCs w:val="28"/>
          <w:lang w:eastAsia="en-US"/>
        </w:rPr>
        <w:t xml:space="preserve">                       </w:t>
      </w:r>
      <w:r w:rsidR="009C451B">
        <w:rPr>
          <w:rStyle w:val="a3"/>
          <w:rFonts w:eastAsia="Calibri"/>
          <w:color w:val="000000"/>
          <w:szCs w:val="28"/>
          <w:lang w:eastAsia="en-US"/>
        </w:rPr>
        <w:t xml:space="preserve">           </w:t>
      </w:r>
      <w:r>
        <w:rPr>
          <w:rStyle w:val="a3"/>
          <w:rFonts w:eastAsia="Calibri"/>
          <w:color w:val="000000"/>
          <w:szCs w:val="28"/>
          <w:lang w:eastAsia="en-US"/>
        </w:rPr>
        <w:t xml:space="preserve">  Владислав СУХЛЯК</w:t>
      </w:r>
    </w:p>
    <w:p w:rsidR="00D87962" w:rsidRDefault="00D87962" w:rsidP="00AA42DE">
      <w:pPr>
        <w:pStyle w:val="Standard"/>
        <w:rPr>
          <w:rFonts w:eastAsia="Calibri"/>
          <w:szCs w:val="28"/>
          <w:lang w:eastAsia="en-US"/>
        </w:rPr>
      </w:pPr>
    </w:p>
    <w:p w:rsidR="00C91F45" w:rsidRDefault="00C91F45" w:rsidP="00D87962">
      <w:pPr>
        <w:pStyle w:val="Standard"/>
        <w:ind w:left="5216"/>
        <w:rPr>
          <w:rFonts w:eastAsia="Calibri"/>
          <w:szCs w:val="28"/>
          <w:lang w:eastAsia="en-US"/>
        </w:rPr>
      </w:pPr>
    </w:p>
    <w:p w:rsidR="00C91F45" w:rsidRDefault="00C91F45" w:rsidP="00D87962">
      <w:pPr>
        <w:pStyle w:val="Standard"/>
        <w:ind w:left="5216"/>
        <w:rPr>
          <w:rFonts w:eastAsia="Calibri"/>
          <w:szCs w:val="28"/>
          <w:lang w:eastAsia="en-US"/>
        </w:rPr>
      </w:pPr>
    </w:p>
    <w:p w:rsidR="007B595C" w:rsidRDefault="007B595C" w:rsidP="009C451B">
      <w:pPr>
        <w:pStyle w:val="Standard"/>
        <w:jc w:val="both"/>
      </w:pPr>
      <w:bookmarkStart w:id="0" w:name="_GoBack"/>
    </w:p>
    <w:p w:rsidR="007B595C" w:rsidRPr="007B595C" w:rsidRDefault="00D87962" w:rsidP="007B59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</w:p>
    <w:p w:rsidR="007B595C" w:rsidRPr="007B595C" w:rsidRDefault="007B595C" w:rsidP="007B595C">
      <w:pPr>
        <w:widowControl/>
        <w:autoSpaceDN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АРКУШ ПОГОДЖЕННЯ</w:t>
      </w:r>
    </w:p>
    <w:p w:rsidR="007B595C" w:rsidRPr="007B595C" w:rsidRDefault="007B595C" w:rsidP="007B595C">
      <w:pPr>
        <w:widowControl/>
        <w:autoSpaceDN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до    рішення міської ради</w:t>
      </w:r>
    </w:p>
    <w:p w:rsidR="007B595C" w:rsidRPr="007B595C" w:rsidRDefault="007B595C" w:rsidP="007B595C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595C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Pr="007B595C">
        <w:rPr>
          <w:rStyle w:val="a3"/>
          <w:rFonts w:ascii="Times New Roman" w:hAnsi="Times New Roman" w:cs="Times New Roman"/>
          <w:sz w:val="28"/>
          <w:szCs w:val="28"/>
        </w:rPr>
        <w:t xml:space="preserve">схвалення  звернення до </w:t>
      </w:r>
      <w:r w:rsidRPr="007B595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Президента України, Верховної Ради України, Кабінету Міністрів України, Міністерства захисту довкілля та природних ресурсів України щодо забезпечення дотримання законних гарантій населення </w:t>
      </w:r>
      <w:proofErr w:type="spellStart"/>
      <w:r w:rsidRPr="007B595C">
        <w:rPr>
          <w:rStyle w:val="a3"/>
          <w:rFonts w:ascii="Times New Roman" w:hAnsi="Times New Roman" w:cs="Times New Roman"/>
          <w:color w:val="000000"/>
          <w:sz w:val="28"/>
          <w:szCs w:val="28"/>
        </w:rPr>
        <w:t>тридцятикілометрової</w:t>
      </w:r>
      <w:proofErr w:type="spellEnd"/>
      <w:r w:rsidRPr="007B595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зони ризику Хмельницької АЕС та недопущення нехтування їх правами та інтересами при спорудженні енергоблоків №5 та №6 на майданчику Хмельницької атомної електростанції</w:t>
      </w:r>
      <w:r w:rsidRPr="007B59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B595C" w:rsidRPr="007B595C" w:rsidRDefault="007B595C" w:rsidP="007B595C">
      <w:pPr>
        <w:widowControl/>
        <w:tabs>
          <w:tab w:val="left" w:pos="0"/>
        </w:tabs>
        <w:autoSpaceDN/>
        <w:ind w:right="-142"/>
        <w:jc w:val="center"/>
        <w:textAlignment w:val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ід  24 квіт</w:t>
      </w:r>
      <w:r w:rsidRPr="007B595C">
        <w:rPr>
          <w:rFonts w:ascii="Times New Roman" w:hAnsi="Times New Roman" w:cs="Times New Roman"/>
          <w:sz w:val="28"/>
          <w:szCs w:val="28"/>
          <w:lang w:eastAsia="ru-RU"/>
        </w:rPr>
        <w:t>ня 2</w:t>
      </w:r>
      <w:r w:rsidRPr="007B595C">
        <w:rPr>
          <w:rFonts w:ascii="Times New Roman" w:hAnsi="Times New Roman" w:cs="Times New Roman"/>
          <w:sz w:val="28"/>
          <w:szCs w:val="24"/>
          <w:lang w:eastAsia="ru-RU"/>
        </w:rPr>
        <w:t xml:space="preserve">024 року </w:t>
      </w:r>
    </w:p>
    <w:p w:rsidR="007B595C" w:rsidRPr="007B595C" w:rsidRDefault="007B595C" w:rsidP="007B595C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Рішення підготував:</w:t>
      </w: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8"/>
        <w:gridCol w:w="5235"/>
      </w:tblGrid>
      <w:tr w:rsidR="009C451B" w:rsidRPr="007B595C" w:rsidTr="009C451B">
        <w:trPr>
          <w:trHeight w:val="80"/>
        </w:trPr>
        <w:tc>
          <w:tcPr>
            <w:tcW w:w="4298" w:type="dxa"/>
          </w:tcPr>
          <w:p w:rsidR="007B595C" w:rsidRPr="007B595C" w:rsidRDefault="007B595C" w:rsidP="009C451B">
            <w:pPr>
              <w:widowControl/>
              <w:autoSpaceDN/>
              <w:ind w:left="37" w:hanging="105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235" w:type="dxa"/>
          </w:tcPr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9C45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Валентина КАПІТУЛА</w:t>
            </w:r>
          </w:p>
        </w:tc>
      </w:tr>
    </w:tbl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ПОГОДЖЕНО:</w:t>
      </w: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заступник міського голови з питань</w:t>
      </w:r>
    </w:p>
    <w:p w:rsidR="007B595C" w:rsidRPr="007B595C" w:rsidRDefault="007B595C" w:rsidP="007B595C">
      <w:pPr>
        <w:widowControl/>
        <w:tabs>
          <w:tab w:val="left" w:pos="6480"/>
        </w:tabs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95C">
        <w:rPr>
          <w:rFonts w:ascii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 w:rsidRPr="007B595C">
        <w:rPr>
          <w:rFonts w:ascii="Times New Roman" w:hAnsi="Times New Roman" w:cs="Times New Roman"/>
          <w:sz w:val="28"/>
          <w:szCs w:val="28"/>
          <w:lang w:eastAsia="ru-RU"/>
        </w:rPr>
        <w:tab/>
        <w:t>Юрій СОСЮК</w:t>
      </w:r>
    </w:p>
    <w:p w:rsidR="007B595C" w:rsidRPr="007B595C" w:rsidRDefault="007B595C" w:rsidP="007B595C">
      <w:pPr>
        <w:widowControl/>
        <w:autoSpaceDN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1511" w:type="dxa"/>
        <w:tblLook w:val="04A0" w:firstRow="1" w:lastRow="0" w:firstColumn="1" w:lastColumn="0" w:noHBand="0" w:noVBand="1"/>
      </w:tblPr>
      <w:tblGrid>
        <w:gridCol w:w="4361"/>
        <w:gridCol w:w="1777"/>
        <w:gridCol w:w="241"/>
        <w:gridCol w:w="3357"/>
        <w:gridCol w:w="187"/>
        <w:gridCol w:w="1588"/>
      </w:tblGrid>
      <w:tr w:rsidR="007B595C" w:rsidRPr="007B595C" w:rsidTr="009C451B">
        <w:tc>
          <w:tcPr>
            <w:tcW w:w="4361" w:type="dxa"/>
          </w:tcPr>
          <w:p w:rsidR="007B595C" w:rsidRPr="007B595C" w:rsidRDefault="007B595C" w:rsidP="007B595C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7B595C" w:rsidRPr="007B595C" w:rsidRDefault="007B595C" w:rsidP="007B595C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018" w:type="dxa"/>
            <w:gridSpan w:val="2"/>
          </w:tcPr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2" w:type="dxa"/>
            <w:gridSpan w:val="3"/>
          </w:tcPr>
          <w:p w:rsidR="007B595C" w:rsidRPr="007B595C" w:rsidRDefault="007B595C" w:rsidP="009C451B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Володимир ДАЦЮК</w:t>
            </w:r>
          </w:p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95C" w:rsidRPr="007B595C" w:rsidTr="009C451B">
        <w:trPr>
          <w:gridAfter w:val="2"/>
          <w:wAfter w:w="1775" w:type="dxa"/>
          <w:trHeight w:val="853"/>
        </w:trPr>
        <w:tc>
          <w:tcPr>
            <w:tcW w:w="6138" w:type="dxa"/>
            <w:gridSpan w:val="2"/>
          </w:tcPr>
          <w:p w:rsidR="009C451B" w:rsidRDefault="007B595C" w:rsidP="009C451B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відділу з юридичної роботи</w:t>
            </w:r>
          </w:p>
          <w:p w:rsidR="009C451B" w:rsidRDefault="007B595C" w:rsidP="009C451B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 питань</w:t>
            </w:r>
            <w:r w:rsidR="009C45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персоналу апарату міської ради</w:t>
            </w:r>
            <w:r w:rsidR="009C451B"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451B" w:rsidRDefault="009C451B" w:rsidP="009C451B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C451B" w:rsidRDefault="009C451B" w:rsidP="009C451B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 запобігання</w:t>
            </w:r>
          </w:p>
          <w:p w:rsidR="009C451B" w:rsidRDefault="009C451B" w:rsidP="009C451B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виявлення корупції у Здолбунівській </w:t>
            </w:r>
          </w:p>
          <w:p w:rsidR="007B595C" w:rsidRPr="007B595C" w:rsidRDefault="009C451B" w:rsidP="009C451B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міській раді</w:t>
            </w:r>
          </w:p>
        </w:tc>
        <w:tc>
          <w:tcPr>
            <w:tcW w:w="241" w:type="dxa"/>
          </w:tcPr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7" w:type="dxa"/>
          </w:tcPr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Світлана ГЕРАСИМЮК</w:t>
            </w:r>
          </w:p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595C" w:rsidRPr="007B595C" w:rsidRDefault="009C451B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   ФЕСЮК</w:t>
            </w:r>
          </w:p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95C" w:rsidRPr="007B595C" w:rsidTr="009C451B">
        <w:trPr>
          <w:gridAfter w:val="1"/>
          <w:wAfter w:w="1588" w:type="dxa"/>
        </w:trPr>
        <w:tc>
          <w:tcPr>
            <w:tcW w:w="4361" w:type="dxa"/>
          </w:tcPr>
          <w:p w:rsidR="007B595C" w:rsidRPr="007B595C" w:rsidRDefault="007B595C" w:rsidP="007B595C">
            <w:pPr>
              <w:widowControl/>
              <w:autoSpaceDN/>
              <w:spacing w:line="0" w:lineRule="atLeast"/>
              <w:ind w:left="-108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gridSpan w:val="2"/>
          </w:tcPr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7B595C" w:rsidRPr="007B595C" w:rsidRDefault="007B595C" w:rsidP="007B595C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595C" w:rsidRPr="007B595C" w:rsidRDefault="007B595C" w:rsidP="009C451B">
            <w:pPr>
              <w:widowControl/>
              <w:autoSpaceDN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59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0"/>
    </w:tbl>
    <w:p w:rsidR="00B874EC" w:rsidRDefault="004B7762"/>
    <w:sectPr w:rsidR="00B874EC" w:rsidSect="00C91F45">
      <w:pgSz w:w="11906" w:h="16838"/>
      <w:pgMar w:top="567" w:right="564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62"/>
    <w:rsid w:val="002E4A94"/>
    <w:rsid w:val="004B029A"/>
    <w:rsid w:val="004B7762"/>
    <w:rsid w:val="005411FD"/>
    <w:rsid w:val="00673F62"/>
    <w:rsid w:val="007B595C"/>
    <w:rsid w:val="009C451B"/>
    <w:rsid w:val="00AA42DE"/>
    <w:rsid w:val="00B538CD"/>
    <w:rsid w:val="00B56A82"/>
    <w:rsid w:val="00C91F45"/>
    <w:rsid w:val="00D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0E5C"/>
  <w15:chartTrackingRefBased/>
  <w15:docId w15:val="{276B6427-F27A-42D3-BF4C-1AC00D4E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62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rsid w:val="00D87962"/>
  </w:style>
  <w:style w:type="paragraph" w:customStyle="1" w:styleId="Standard">
    <w:name w:val="Standard"/>
    <w:rsid w:val="00D879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11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1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5</cp:revision>
  <cp:lastPrinted>2024-04-29T08:28:00Z</cp:lastPrinted>
  <dcterms:created xsi:type="dcterms:W3CDTF">2024-04-22T07:37:00Z</dcterms:created>
  <dcterms:modified xsi:type="dcterms:W3CDTF">2024-04-29T08:28:00Z</dcterms:modified>
</cp:coreProperties>
</file>