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6568A56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right"/>
        <w:rPr>
          <w:rFonts w:ascii="Times" w:eastAsia="Times" w:hAnsi="Times" w:cs="Times"/>
          <w:color w:val="000000"/>
          <w:sz w:val="36"/>
          <w:szCs w:val="36"/>
        </w:rPr>
      </w:pP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28"/>
          <w:szCs w:val="28"/>
        </w:rPr>
        <w:tab/>
      </w:r>
      <w:r>
        <w:rPr>
          <w:rFonts w:ascii="Times" w:eastAsia="Times" w:hAnsi="Times" w:cs="Times"/>
          <w:color w:val="000000"/>
          <w:sz w:val="36"/>
          <w:szCs w:val="36"/>
        </w:rPr>
        <w:t>П</w:t>
      </w:r>
      <w:r>
        <w:rPr>
          <w:rFonts w:ascii="Times" w:eastAsia="Times" w:hAnsi="Times" w:cs="Times"/>
          <w:sz w:val="36"/>
          <w:szCs w:val="36"/>
        </w:rPr>
        <w:t>роєкт</w:t>
      </w:r>
    </w:p>
    <w:p w14:paraId="00000002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4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14:paraId="00000003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10872718" w:rsidR="00226012" w:rsidRDefault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РІВНЕНСЬКОГО РАЙОНУ РІВНЕНСЬКОЇ </w:t>
      </w: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ОБЛАСТІ</w:t>
      </w:r>
    </w:p>
    <w:p w14:paraId="00000005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14:paraId="00000006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7" w14:textId="77777777" w:rsidR="00226012" w:rsidRDefault="00371D2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9" w14:textId="2BF376E5" w:rsidR="00226012" w:rsidRDefault="00226012" w:rsidP="00371D2F">
      <w:pPr>
        <w:pBdr>
          <w:top w:val="nil"/>
          <w:left w:val="nil"/>
          <w:bottom w:val="nil"/>
          <w:right w:val="nil"/>
          <w:between w:val="nil"/>
        </w:pBdr>
        <w:spacing w:after="0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0B" w14:textId="36119E81" w:rsidR="00226012" w:rsidRDefault="00371D2F" w:rsidP="00371D2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24 травня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2024 року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№ ________</w:t>
      </w:r>
    </w:p>
    <w:p w14:paraId="201C2B62" w14:textId="77777777" w:rsidR="00371D2F" w:rsidRPr="00371D2F" w:rsidRDefault="00371D2F" w:rsidP="00371D2F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0" w14:textId="41D1A1D0" w:rsidR="00226012" w:rsidRDefault="00371D2F" w:rsidP="00371D2F">
      <w:pPr>
        <w:pBdr>
          <w:between w:val="nil"/>
        </w:pBdr>
        <w:spacing w:after="0" w:line="240" w:lineRule="auto"/>
        <w:ind w:left="1" w:right="496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затвердження Положення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преміювання, надання матеріальної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допомоги та допомоги на оздоровлення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працівникам Здолбунівської міської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її виконавчих органів</w:t>
      </w:r>
    </w:p>
    <w:p w14:paraId="00000011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2" w14:textId="77777777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 статтею 40 Закону України «Про місцеве самоврядування в Україні»,  Указом Президента України від 24.02.2022 № 64 «Про введення воєнного стану в Україні» (зі змінами), затвердженого Законом України                 «Про затвердження Указу Президент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України «Про введення воєнного стану в Україні» (зі змінами), відповідно до постанови Кабінету Міністрів України                від 09.03.20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№ 268 «Про упорядкування структури та умов оплати праці працівників апарату органів виконавчої влади, органів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рокуратури, судів та інших органів» зі змінами, наказу Міністерства розвитку економіки, торгівлі та сільського господарства України від 23.03.2021 № 609 «Про умови оплати праці робітників, зайнятих обслуговуванням органів виконавчої влади, місцевого самовр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ядування та їх виконавчих органів, органів прокуратури, судів та інших органів», зареєстрованого в Міністерстві юстиції України 08.04.2021                        за № 474/36096, виконавчий комітет Здолбунівської  міської ради </w:t>
      </w:r>
    </w:p>
    <w:p w14:paraId="00000013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4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14:paraId="00000015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6" w14:textId="410EC459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Затвердити Положення про преміювання, надання матеріальної допомоги та допомоги на оздоровлення працівникам Здолбунівської міської ради та її виконавчих органів, що додається.</w:t>
      </w:r>
    </w:p>
    <w:p w14:paraId="00000017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Вважати таким, що втратило чинність, рішення виконавчого комітету Здолбуні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вської міської ради від 23.06.2021 № 197.</w:t>
      </w:r>
    </w:p>
    <w:p w14:paraId="00000018" w14:textId="6E8F53B9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Контроль за виконанням даного рішення покласти на заступника міського голови з питань діяльності виконавчих органів ради Сосюка Ю.П.</w:t>
      </w:r>
    </w:p>
    <w:p w14:paraId="00000019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A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B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Владислав СУХЛЯК</w:t>
      </w:r>
    </w:p>
    <w:p w14:paraId="0000001C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D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E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1F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E" w14:textId="0CD1747D" w:rsidR="00226012" w:rsidRDefault="00226012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4F" w14:textId="1900A511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" w:firstLineChars="2126" w:firstLine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</w:p>
    <w:p w14:paraId="00000050" w14:textId="77777777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" w:firstLineChars="2126" w:firstLine="59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 виконавчого комітету</w:t>
      </w:r>
    </w:p>
    <w:p w14:paraId="00000051" w14:textId="77777777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" w:firstLineChars="2126" w:firstLine="59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 міської ради</w:t>
      </w:r>
    </w:p>
    <w:p w14:paraId="00000054" w14:textId="019419A8" w:rsidR="00226012" w:rsidRPr="00371D2F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-2" w:firstLineChars="2126" w:firstLine="59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24.05.2024 №____                </w:t>
      </w:r>
    </w:p>
    <w:p w14:paraId="00000055" w14:textId="77777777" w:rsidR="00226012" w:rsidRDefault="002260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6" w14:textId="77777777" w:rsidR="00226012" w:rsidRDefault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ПОЛОЖЕННЯ</w:t>
      </w:r>
    </w:p>
    <w:p w14:paraId="00000057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преміювання, надання матеріальної  допомоги та допомоги для  оздоровлення  працівників Здолбунівської міської  </w:t>
      </w:r>
    </w:p>
    <w:p w14:paraId="00000058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ради та її виконавчих органів </w:t>
      </w:r>
    </w:p>
    <w:p w14:paraId="00000059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      ЗАГАЛЬНІ ПОЛОЖЕННЯ</w:t>
      </w:r>
    </w:p>
    <w:p w14:paraId="0000005A" w14:textId="1B81CF95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1.1. Положення про преміювання, надання матеріальної допомоги та допомоги для оздоровлення працівників Здолбунівської міської ради та її виконавчих органів (надалі – Положення) розроблено відповідно до Кодексу законів про працю України, Закону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раїни «Про місцеве самоврядування в Україні», Закону України «Про службу в органах місцевого самоврядування», постанови  Кабінету  Міністрів  України від 09 березня 2006 року   № 268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«Про упорядкування структури та умов оплати праці працівників апарату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ганів виконавчої влади, органів прокуратури, судів та інших органів»                     (зі змінами та доповненнями), наказу Міністерства розвитку економіки, торгівлі та сільського господарства України від 23 березня 2021 року № 609                    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органів», зареєстрованого в Міністерстві юстиції України 08 квітня 2021 року за №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74/36096 та постанови Кабінету Міністрів України від 30 квітня 2024 року № 484 «Про внесення змін до постанови Кабінету Міністрів України від 09 березня 2006 р. № 268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00005B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 Положення визначає джерела, умови і механізм визначення розмірів премії працівникі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Здолбунівської  міської ради та її виконавчих органів. </w:t>
      </w:r>
    </w:p>
    <w:p w14:paraId="0000005C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 Премія за цим Положенням – винагорода, пов’язана зі стимулюванням сумлінного, якісного, добросовісного виконання працівниками своїх посадових обов’язків і завдань працівниками шляхом врахування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їх особистого внеску в загальні результати роботи, розмір якої залежить від складності та умов виконуваної роботи, результативності праці та наявності коштів.</w:t>
      </w:r>
    </w:p>
    <w:p w14:paraId="0000005D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1.4. Дія цього Положення поширюється на всіх працівників Здолбунівської міської ради та її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авчих органів.</w:t>
      </w:r>
    </w:p>
    <w:p w14:paraId="0000005E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1.5. Фонд преміювання працівників Здолбунівської міської ради та її виконавчих органів утворюється в межах коштів, передбачених на преміювання у кошторисі, затвердженому в установленому порядку  та економії фонду оплати праці.</w:t>
      </w:r>
    </w:p>
    <w:p w14:paraId="0000005F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1.6. Річний 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 преміювання утворюється у розмірі не менш як 10 відсотків посадових окладів та економії фонду оплати праці.</w:t>
      </w:r>
    </w:p>
    <w:p w14:paraId="00000063" w14:textId="1EE35DC2" w:rsidR="00226012" w:rsidRDefault="00226012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14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4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УМОВИ ПРЕМІЮВАННЯ ТА ВИЗНАЧЕННЯ РОЗМІРУ ПРЕМІЇ</w:t>
      </w:r>
    </w:p>
    <w:p w14:paraId="00000065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66" w14:textId="0C16CEC3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2.1. Преміювання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працівників Здолбунівської міської ради та її виконавчих органів здійснюється за умов дотримання ними чинного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законодавства, якісного і своєчасного виконання функціональних обов’язків, визначених у посадових інструкціях, доручень міськог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голови, секретаря міської ради, заступників міського голови з питань  діяльності  виконавчих  органів  ради, керуючого справами виконкому, безпосередньо начальників управлінь та відділів.       </w:t>
      </w:r>
    </w:p>
    <w:p w14:paraId="00000067" w14:textId="45E43524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2.2. Показниками преміювання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стимулювання трудової дія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льності, покращення результатів роботи, забезпечення виконання нормативних вимог щодо діяльності органу місцевого самоврядування  є:</w:t>
      </w:r>
    </w:p>
    <w:p w14:paraId="00000068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своєчасне та якісне виконання завдань відповідно розпорядчих документів, доручень та  завдань керівництва;</w:t>
      </w:r>
    </w:p>
    <w:p w14:paraId="00000069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оперативність виконання поставлених завдань;</w:t>
      </w:r>
    </w:p>
    <w:p w14:paraId="0000006A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ініціативність у діяльності, внесення пропозицій з вирішення складних виробничих питань;</w:t>
      </w:r>
    </w:p>
    <w:p w14:paraId="0000006B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освоєння нових технічних засобів в процесі виконання поставлених  завдань;</w:t>
      </w:r>
    </w:p>
    <w:p w14:paraId="0000006C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особистий внесок при виконанні важливих завдань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000006D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сумлінне  виконання своїх посадових обов’язків;</w:t>
      </w:r>
    </w:p>
    <w:p w14:paraId="0000006E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дотримання виконавської і трудової дисципліни;</w:t>
      </w:r>
    </w:p>
    <w:p w14:paraId="0000006F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своєчасна і якісна підготовка документів для розгляду на сесіях міської ради, засіданнях виконавчого комітету, розпоряджень міського голови;</w:t>
      </w:r>
    </w:p>
    <w:p w14:paraId="00000070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постійне вдосконал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ення організації своєї роботи і підвищення професійної кваліфікації. </w:t>
      </w:r>
    </w:p>
    <w:p w14:paraId="00000071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Премії можуть бути встановлені в таких розмірах:</w:t>
      </w:r>
    </w:p>
    <w:p w14:paraId="00000072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 відсотках до нарахованої заробітної плати;</w:t>
      </w:r>
    </w:p>
    <w:p w14:paraId="00000073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 розмірі середньомісячної заробітної плати;</w:t>
      </w:r>
    </w:p>
    <w:p w14:paraId="00000074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 фіксованій грошовій сумі.</w:t>
      </w:r>
    </w:p>
    <w:p w14:paraId="00000075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час дії воєнного стану в Україні здійснювати преміювання працівників Здолбунівської міської ради та її виконавчих органів в розмірі, що не перевищує 100 відсотків посадового окладу. </w:t>
      </w:r>
    </w:p>
    <w:p w14:paraId="00000076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2.4. Конкретний розмір премії працівникам визначається міським головою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встановлюється його розпорядженням.</w:t>
      </w:r>
    </w:p>
    <w:p w14:paraId="00000077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 Преміювання працівників, прийнятих на роботу до Здолбунівської міської ради та її виконавчих органів з випробувальним строком, здійснюється після закінчення цього строку або з дня визнання працівника таким, що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итримав випробування.</w:t>
      </w:r>
    </w:p>
    <w:p w14:paraId="00000078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2.6. Премії нараховуються за фактично відпрацьований робочий час у межах фонду преміювання та економії фонду оплати праці.</w:t>
      </w:r>
    </w:p>
    <w:p w14:paraId="00000079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2.7. Премія не нараховується за період знаходження працівника  у відпустках всіх видів, передбачених чинним зак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онодавством, тимчасової непрацездатності, підтвердженої лікарняним листком або довідкою відповідної лікувальної установи, відряджень, у тому числі за кордон. </w:t>
      </w:r>
    </w:p>
    <w:p w14:paraId="0000007A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2.8. У місяці прийняття працівника на роботу та у місяці звільнення – премія не нараховується.</w:t>
      </w:r>
    </w:p>
    <w:p w14:paraId="0000007B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9. Працівникам, яким оголошено догану, премія не виплачується протягом дії дисциплінарного стягнення.</w:t>
      </w:r>
    </w:p>
    <w:p w14:paraId="0000007C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1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2.10. При наявності економії фонду оплати праці, преміювання секретаря міської ради, заступників міського голови з питань діяльності виконавчих органів 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ди, керуючого справами виконавчого комітету міської ради, старост,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працівників апарату та виконавчих органів ради може здійснюватися до державних, професійних свят, ювілейних дат.</w:t>
      </w:r>
    </w:p>
    <w:p w14:paraId="0000007D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цілей цього Положення встановлюються наступні ювілейні дати: 30, 40, 50,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60 років.</w:t>
      </w:r>
    </w:p>
    <w:p w14:paraId="0000007E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2.11. При наявності економії фонду оплати праці та в межах кошторисних призначень працівникам можуть виплачуватись премії за результатами роботи за квартал та рік, з дотриманням умов, передбачених цим Положенням.  </w:t>
      </w:r>
    </w:p>
    <w:p w14:paraId="0000007F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0" w14:textId="77777777" w:rsidR="00226012" w:rsidRDefault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ПОРЯДОК ПРЕМІЮВАННЯ</w:t>
      </w:r>
    </w:p>
    <w:p w14:paraId="00000081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2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 Преміювання міського голови здійснюється на підставі рішення сесії міської ради.</w:t>
      </w:r>
    </w:p>
    <w:p w14:paraId="00000083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 Преміювання секретаря міської ради, заступників міського голови з питань діяльності виконавчих органів ради, керуючого справами виконавчого комітету міської ради,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арост,  працівників апарату та виконавчих органів,  керівників, заступників керівників самостійних управлінь та відділів Здолбунівської міської ради здійснюється на підставі цього Положення за розпорядженням міського голови.</w:t>
      </w:r>
    </w:p>
    <w:p w14:paraId="00000084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Преміювання інших працівни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ків самостійних управлінь та відділів Здолбунівської міської ради здійснюється на підставі цього Положення про преміювання за  розпорядчими документами керівників самостійних управлінь та відділів.</w:t>
      </w:r>
    </w:p>
    <w:p w14:paraId="00000085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 Премія виплачується щомісяця одночасно з виплатою зар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обітної плати за поточний місяць.</w:t>
      </w:r>
    </w:p>
    <w:p w14:paraId="00000086" w14:textId="77777777" w:rsidR="00226012" w:rsidRDefault="002260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7" w14:textId="77777777" w:rsidR="00226012" w:rsidRDefault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ПОЗБАВЛЕННЯ ПРЕМІЇ</w:t>
      </w:r>
    </w:p>
    <w:p w14:paraId="00000088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89" w14:textId="6B6DDE41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 Розмір премії працівника може бути зменшено за:</w:t>
      </w:r>
    </w:p>
    <w:p w14:paraId="0000008A" w14:textId="4666A8FD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sdt>
        <w:sdtPr>
          <w:tag w:val="goog_rdk_1"/>
          <w:id w:val="60918310"/>
        </w:sdtPr>
        <w:sdtEndPr/>
        <w:sdtContent/>
      </w:sdt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невиконання або неналежне виконання посадових обов’язків та недотримання вимог посадової інструкції, правил внутрішнього і службового трудового розпорядку, умов Колективного договору та інших нормативно-правових документів;</w:t>
      </w:r>
    </w:p>
    <w:p w14:paraId="0000008C" w14:textId="4F439F26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на підставі: доручень міськ</w:t>
      </w:r>
      <w:r>
        <w:rPr>
          <w:rFonts w:ascii="Times New Roman" w:eastAsia="Times New Roman" w:hAnsi="Times New Roman" w:cs="Times New Roman"/>
          <w:sz w:val="28"/>
          <w:szCs w:val="28"/>
        </w:rPr>
        <w:t>ого голови, секретаря міської ради, заступників міського голови з питань діяльності виконавчих органів ради; пропозицій керуючого справами виконкому та  начальників управлінь та відділів.</w:t>
      </w:r>
    </w:p>
    <w:p w14:paraId="4FE99584" w14:textId="77777777" w:rsidR="00371D2F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4.2. Працівник позбавляється премії за:</w:t>
      </w:r>
    </w:p>
    <w:p w14:paraId="0000008E" w14:textId="19402960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повторні або систематичні порушення, передбачені п. 4.1. Положення;</w:t>
      </w:r>
    </w:p>
    <w:p w14:paraId="0000008F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-259" w:left="-567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недотримання антикорупційного законодавства;</w:t>
      </w:r>
    </w:p>
    <w:p w14:paraId="00000090" w14:textId="2D6AFC5A" w:rsidR="00226012" w:rsidRDefault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випадку притягнення до дисциплінарної відповідальності.</w:t>
      </w:r>
    </w:p>
    <w:p w14:paraId="00000093" w14:textId="2EE2549F" w:rsidR="00226012" w:rsidRDefault="00226012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Chars="0" w:left="0" w:right="140" w:firstLineChars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94" w14:textId="60B85BB6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Надання матеріальної допомоги та допомоги на оздоровлення</w:t>
      </w:r>
    </w:p>
    <w:p w14:paraId="00000095" w14:textId="77777777" w:rsidR="00226012" w:rsidRDefault="002260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8" w14:textId="703D4892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Міському голові допомога для оздоровлення та матеріальна допомога для вирішення соціально-побутових питань надається згідно з рішенням сесії міської ради.</w:t>
      </w:r>
    </w:p>
    <w:p w14:paraId="7A160C16" w14:textId="3ADA9C5B" w:rsidR="00371D2F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FAD2C57" w14:textId="618B0B47" w:rsidR="00371D2F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C7E6F" w14:textId="61CB216B" w:rsidR="00371D2F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8CDEF72" w14:textId="77777777" w:rsidR="00371D2F" w:rsidRPr="00371D2F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9" w14:textId="77777777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 При наданні щорічної відпустки працівникам міської ради один раз на рік виплачується допо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мога  для оздоровлення в розмірі середньомісячної заробітної плати.</w:t>
      </w:r>
    </w:p>
    <w:p w14:paraId="0000009A" w14:textId="77777777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 Працівникам міської ради може надаватися матеріальна допомога для вирішення соціально-побутових питань в розмірі, що не перевищує розмір середньомісячної заробітної плати.</w:t>
      </w:r>
    </w:p>
    <w:p w14:paraId="0000009B" w14:textId="77777777" w:rsidR="00226012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 Матері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альна допомога виплачується в межах фонду оплати праці, затвердженого в кошторисі.</w:t>
      </w:r>
    </w:p>
    <w:p w14:paraId="0000009C" w14:textId="77777777" w:rsidR="00226012" w:rsidRDefault="002260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D" w14:textId="77777777" w:rsidR="00226012" w:rsidRDefault="00371D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1" w:right="140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ПРИКІНЦЕВІ ПОЛОЖЕННЯ</w:t>
      </w:r>
    </w:p>
    <w:p w14:paraId="0000009E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0" w:right="140" w:hanging="2"/>
        <w:rPr>
          <w:rFonts w:ascii="Arial" w:eastAsia="Arial" w:hAnsi="Arial" w:cs="Arial"/>
          <w:color w:val="000000"/>
          <w:sz w:val="21"/>
          <w:szCs w:val="21"/>
        </w:rPr>
      </w:pPr>
    </w:p>
    <w:p w14:paraId="0000009F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6.1. Положення про преміювання затверджується виконавчим комітетом Здолбунівської міської ради. </w:t>
      </w:r>
    </w:p>
    <w:p w14:paraId="000000A0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 Зміни та доповнення до даного Положення вносяться у порядку, встановленому чинним законодавством та внутрішніми організаційно - розпорядчими документами.</w:t>
      </w:r>
    </w:p>
    <w:p w14:paraId="000000A1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 Відносини, що не врегульовані у цьому Положенні, регулюються чинним законодавством України.</w:t>
      </w:r>
    </w:p>
    <w:p w14:paraId="000000A2" w14:textId="77777777" w:rsidR="00226012" w:rsidRDefault="00371D2F" w:rsidP="00371D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-2" w:right="140" w:firstLineChars="0" w:firstLine="7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 Спори з питань преміювання розглядаються у порядку, передбаченому нормами чинного законодавства.</w:t>
      </w:r>
    </w:p>
    <w:p w14:paraId="000000A5" w14:textId="389494BD" w:rsidR="00226012" w:rsidRDefault="00226012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14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1AD7C6" w14:textId="1BD49ADA" w:rsidR="00371D2F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14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6456174" w14:textId="77777777" w:rsidR="00371D2F" w:rsidRDefault="00371D2F" w:rsidP="00371D2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140" w:firstLineChars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tbl>
      <w:tblPr>
        <w:tblStyle w:val="af6"/>
        <w:tblW w:w="975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79"/>
        <w:gridCol w:w="5271"/>
      </w:tblGrid>
      <w:tr w:rsidR="00226012" w14:paraId="4824A76E" w14:textId="77777777">
        <w:trPr>
          <w:trHeight w:val="1401"/>
        </w:trPr>
        <w:tc>
          <w:tcPr>
            <w:tcW w:w="4479" w:type="dxa"/>
          </w:tcPr>
          <w:p w14:paraId="000000A6" w14:textId="77777777" w:rsidR="00226012" w:rsidRDefault="00371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23" w:hanging="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  <w:p w14:paraId="000000A7" w14:textId="77777777" w:rsidR="00226012" w:rsidRDefault="00226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p w14:paraId="000000A9" w14:textId="0D462667" w:rsidR="00226012" w:rsidRDefault="00371D2F" w:rsidP="00371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</w:t>
            </w:r>
          </w:p>
          <w:p w14:paraId="000000AA" w14:textId="77777777" w:rsidR="00226012" w:rsidRDefault="00371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Юрій СОСЮК</w:t>
            </w:r>
          </w:p>
          <w:p w14:paraId="000000AB" w14:textId="77777777" w:rsidR="00226012" w:rsidRDefault="00226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C" w14:textId="77777777" w:rsidR="00226012" w:rsidRDefault="002260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00000AD" w14:textId="77777777" w:rsidR="00226012" w:rsidRDefault="00371D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</w:tbl>
    <w:p w14:paraId="000000AE" w14:textId="77777777" w:rsidR="00226012" w:rsidRDefault="002260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AF" w14:textId="77777777" w:rsidR="00226012" w:rsidRDefault="002260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0" w14:textId="77777777" w:rsidR="00226012" w:rsidRDefault="0022601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1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2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3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B4" w14:textId="77777777" w:rsidR="00226012" w:rsidRDefault="00226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226012">
      <w:pgSz w:w="11906" w:h="16838"/>
      <w:pgMar w:top="709" w:right="567" w:bottom="142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auto"/>
    <w:pitch w:val="default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E5ED4"/>
    <w:multiLevelType w:val="multilevel"/>
    <w:tmpl w:val="AE76693E"/>
    <w:lvl w:ilvl="0">
      <w:start w:val="6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12"/>
    <w:rsid w:val="00226012"/>
    <w:rsid w:val="003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627D"/>
  <w15:docId w15:val="{200F113B-16DB-4017-9A91-DDF616BB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d">
    <w:name w:val="header"/>
    <w:basedOn w:val="a"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af">
    <w:name w:val="footer"/>
    <w:basedOn w:val="a"/>
    <w:qFormat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infosubtitle1">
    <w:name w:val="info_subtitle1"/>
    <w:rPr>
      <w:rFonts w:ascii="Verdana" w:hAnsi="Verdana" w:cs="Times New Roman"/>
      <w:color w:val="4B614B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31">
    <w:name w:val="Основной текст3"/>
    <w:basedOn w:val="a"/>
    <w:pPr>
      <w:widowControl w:val="0"/>
      <w:shd w:val="clear" w:color="auto" w:fill="FFFFFF"/>
      <w:spacing w:after="0" w:line="320" w:lineRule="atLeast"/>
    </w:pPr>
    <w:rPr>
      <w:rFonts w:ascii="Times New Roman" w:hAnsi="Times New Roman"/>
      <w:color w:val="000000"/>
      <w:sz w:val="28"/>
      <w:szCs w:val="28"/>
      <w:lang w:val="uk-UA"/>
    </w:rPr>
  </w:style>
  <w:style w:type="table" w:styleId="af1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rvps5">
    <w:name w:val="rvps5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46">
    <w:name w:val="rvps46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af2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f3">
    <w:name w:val="Шрифт абзацу за промовчанням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вичайний1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lang w:val="ru-RU" w:eastAsia="ru-RU"/>
    </w:r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position w:val="-1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dXyA8pEbajjd2LR3VnNvgKQRHw==">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6848</Words>
  <Characters>3904</Characters>
  <Application>Microsoft Office Word</Application>
  <DocSecurity>0</DocSecurity>
  <Lines>32</Lines>
  <Paragraphs>21</Paragraphs>
  <ScaleCrop>false</ScaleCrop>
  <Company/>
  <LinksUpToDate>false</LinksUpToDate>
  <CharactersWithSpaces>10731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3</cp:revision>
  <dcterms:created xsi:type="dcterms:W3CDTF">2024-05-13T13:07:00Z</dcterms:created>
  <dcterms:modified xsi:type="dcterms:W3CDTF">2024-05-20T09:20:00Z</dcterms:modified>
</cp:coreProperties>
</file>