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CB" w:rsidRDefault="00D848CB">
      <w:pPr>
        <w:suppressAutoHyphens w:val="0"/>
        <w:jc w:val="center"/>
      </w:pPr>
      <w:r>
        <w:rPr>
          <w:b/>
          <w:bCs/>
          <w:color w:val="000000"/>
          <w:lang w:eastAsia="uk-UA"/>
        </w:rPr>
        <w:t>Аналіз впливу регуляторного акта</w:t>
      </w:r>
    </w:p>
    <w:p w:rsidR="00D848CB" w:rsidRDefault="00D848CB">
      <w:pPr>
        <w:suppressAutoHyphens w:val="0"/>
        <w:jc w:val="center"/>
      </w:pPr>
      <w:r>
        <w:rPr>
          <w:b/>
          <w:color w:val="000000"/>
          <w:lang w:eastAsia="uk-UA"/>
        </w:rPr>
        <w:t>проєкту рішення міської ради </w:t>
      </w:r>
      <w:r w:rsidRPr="00E66DEF">
        <w:rPr>
          <w:b/>
          <w:color w:val="000000"/>
          <w:lang w:eastAsia="uk-UA"/>
        </w:rPr>
        <w:t>«</w:t>
      </w:r>
      <w:r>
        <w:rPr>
          <w:b/>
          <w:color w:val="000000"/>
          <w:lang w:eastAsia="uk-UA"/>
        </w:rPr>
        <w:t>Про затвердження П</w:t>
      </w:r>
      <w:r>
        <w:rPr>
          <w:b/>
          <w:color w:val="000000"/>
          <w:shd w:val="clear" w:color="auto" w:fill="FFFFFF"/>
        </w:rPr>
        <w:t>оряд</w:t>
      </w:r>
      <w:r w:rsidRPr="00E66DEF">
        <w:rPr>
          <w:b/>
          <w:color w:val="000000"/>
          <w:shd w:val="clear" w:color="auto" w:fill="FFFFFF"/>
        </w:rPr>
        <w:t>к</w:t>
      </w:r>
      <w:r>
        <w:rPr>
          <w:b/>
          <w:color w:val="000000"/>
          <w:shd w:val="clear" w:color="auto" w:fill="FFFFFF"/>
        </w:rPr>
        <w:t xml:space="preserve">у </w:t>
      </w:r>
      <w:r w:rsidRPr="00E66DEF">
        <w:rPr>
          <w:b/>
          <w:color w:val="000000"/>
          <w:shd w:val="clear" w:color="auto" w:fill="FFFFFF"/>
        </w:rPr>
        <w:t xml:space="preserve">розрахунку плати за тимчасове користування окремими елементами благоустрою комунальної власності для розміщення ТС </w:t>
      </w:r>
      <w:r>
        <w:rPr>
          <w:b/>
          <w:color w:val="000000"/>
          <w:shd w:val="clear" w:color="auto" w:fill="FFFFFF"/>
        </w:rPr>
        <w:t>, МАФів</w:t>
      </w:r>
      <w:r w:rsidRPr="00E66DEF">
        <w:rPr>
          <w:b/>
          <w:color w:val="000000"/>
          <w:shd w:val="clear" w:color="auto" w:fill="FFFFFF"/>
        </w:rPr>
        <w:t>, інших майданчиків, атракціонів, лунапарків, пересувних цирків з метою провадження підприємницької діяльності на території Здолбунівської міської територіальної громади </w:t>
      </w:r>
      <w:r w:rsidRPr="00E66DEF">
        <w:rPr>
          <w:b/>
          <w:color w:val="000000"/>
          <w:lang w:eastAsia="uk-UA"/>
        </w:rPr>
        <w:t>»</w:t>
      </w:r>
      <w:r>
        <w:rPr>
          <w:b/>
          <w:color w:val="000000"/>
          <w:lang w:eastAsia="uk-UA"/>
        </w:rPr>
        <w:t>.</w:t>
      </w:r>
    </w:p>
    <w:p w:rsidR="00D848CB" w:rsidRDefault="00D848CB">
      <w:pPr>
        <w:suppressAutoHyphens w:val="0"/>
        <w:jc w:val="center"/>
        <w:rPr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>Цей аналіз регуляторного впливу (далі – Аналіз) розроблений відповідно до вимог встановлених Земельним кодексом України, законами України «Про дозвільну систему у сфері господарської діяльності», «Про засади державної регуляторної політики у сфері господарської діяльності», «Про місцеве самоврядування в Україні»</w:t>
      </w:r>
      <w:bookmarkStart w:id="0" w:name="_GoBack"/>
      <w:bookmarkEnd w:id="0"/>
      <w:r>
        <w:rPr>
          <w:color w:val="000000"/>
          <w:lang w:eastAsia="uk-UA"/>
        </w:rPr>
        <w:t>,</w:t>
      </w:r>
      <w:r>
        <w:rPr>
          <w:color w:val="000000"/>
          <w:spacing w:val="1"/>
          <w:lang w:eastAsia="ru-RU"/>
        </w:rPr>
        <w:t xml:space="preserve"> відповідно до Методики проведення аналізу впливу регуляторного акту, затвердженої постановою Кабінету Міністрів України від 11.03.2004 № 308 із змінами внесеними постановами Кабінету Міністрів України від 28.11.2012 №1107 та від 16.12.2015  №1151,</w:t>
      </w:r>
      <w:r>
        <w:rPr>
          <w:color w:val="000000"/>
          <w:lang w:eastAsia="uk-UA"/>
        </w:rPr>
        <w:t xml:space="preserve"> та з метою затвердження і впровадження порядку та умов розрахунку плати за розміщення тимчасових споруд, малих архітектурних форм та </w:t>
      </w:r>
      <w:r w:rsidRPr="00E66DEF">
        <w:rPr>
          <w:color w:val="000000"/>
          <w:shd w:val="clear" w:color="auto" w:fill="FFFFFF"/>
        </w:rPr>
        <w:t>інших майданчиків, атракціонів, лунапарків, пересувних цирків</w:t>
      </w:r>
      <w:r w:rsidRPr="00E66DEF">
        <w:rPr>
          <w:b/>
          <w:color w:val="000000"/>
          <w:shd w:val="clear" w:color="auto" w:fill="FFFFFF"/>
        </w:rPr>
        <w:t> </w:t>
      </w:r>
      <w:r>
        <w:rPr>
          <w:color w:val="000000"/>
          <w:lang w:eastAsia="uk-UA"/>
        </w:rPr>
        <w:t xml:space="preserve"> на території Здолбунівської міської територіальної громади для провадження підприємницької діяльності; регулювання організаційно-правових відносин, пов’язаних з оформленням договорів про сплату.</w:t>
      </w:r>
    </w:p>
    <w:p w:rsidR="00D848CB" w:rsidRDefault="00D848CB">
      <w:pPr>
        <w:suppressAutoHyphens w:val="0"/>
        <w:ind w:firstLine="708"/>
        <w:jc w:val="both"/>
        <w:rPr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</w:pPr>
      <w:r>
        <w:rPr>
          <w:b/>
          <w:bCs/>
          <w:color w:val="000000"/>
          <w:lang w:eastAsia="uk-UA"/>
        </w:rPr>
        <w:t>I. Визначення та аналіз проблеми, яку передбачається розв’язати</w:t>
      </w:r>
      <w:r>
        <w:rPr>
          <w:color w:val="000000"/>
          <w:lang w:eastAsia="uk-UA"/>
        </w:rPr>
        <w:br/>
      </w:r>
      <w:r>
        <w:rPr>
          <w:b/>
          <w:bCs/>
          <w:color w:val="000000"/>
          <w:lang w:eastAsia="uk-UA"/>
        </w:rPr>
        <w:t>шляхом регулювання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 xml:space="preserve">Розміщення тимчасових споруд, малих архітектурних форм та </w:t>
      </w:r>
      <w:r w:rsidRPr="00E66DEF">
        <w:rPr>
          <w:color w:val="000000"/>
          <w:shd w:val="clear" w:color="auto" w:fill="FFFFFF"/>
        </w:rPr>
        <w:t>інших майданчиків, атракціонів, лунапарків, пересувних цирків</w:t>
      </w:r>
      <w:r w:rsidRPr="00E66DEF">
        <w:rPr>
          <w:b/>
          <w:color w:val="000000"/>
          <w:shd w:val="clear" w:color="auto" w:fill="FFFFFF"/>
        </w:rPr>
        <w:t> </w:t>
      </w:r>
      <w:r>
        <w:rPr>
          <w:color w:val="000000"/>
          <w:lang w:eastAsia="uk-UA"/>
        </w:rPr>
        <w:t xml:space="preserve"> для провадження підприємницької діяльності  здійснюється у відповідності із </w:t>
      </w:r>
      <w:r>
        <w:rPr>
          <w:color w:val="000000"/>
        </w:rPr>
        <w:t xml:space="preserve">Законом України «Про місцеве самоврядування в Україні», Законом України «Про регулювання містобудівної діяльності», Законом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№244. 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</w:rPr>
        <w:t xml:space="preserve">Діючими нормативними актами визначено механізм розміщення та функціонування тимчасових споруд, </w:t>
      </w:r>
      <w:r>
        <w:rPr>
          <w:color w:val="000000"/>
          <w:lang w:eastAsia="uk-UA"/>
        </w:rPr>
        <w:t xml:space="preserve">малих архітектурних форм та </w:t>
      </w:r>
      <w:r w:rsidRPr="00E66DEF">
        <w:rPr>
          <w:color w:val="000000"/>
          <w:shd w:val="clear" w:color="auto" w:fill="FFFFFF"/>
        </w:rPr>
        <w:t>інших майданчиків, атракціонів, лунапарків, пересувних цирків</w:t>
      </w:r>
      <w:r w:rsidRPr="00E66DEF">
        <w:rPr>
          <w:b/>
          <w:color w:val="000000"/>
          <w:shd w:val="clear" w:color="auto" w:fill="FFFFFF"/>
        </w:rPr>
        <w:t> </w:t>
      </w:r>
      <w:r>
        <w:rPr>
          <w:color w:val="000000"/>
        </w:rPr>
        <w:t>, побутового та соціально-культурного призначення, але не врегульовано порядку сплати за використання елементів благоустрою комунальної власності громади.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</w:rPr>
        <w:t>Вказана проблема не може бути вирішена за допомогою ринкових механізмів.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</w:rPr>
        <w:t xml:space="preserve">Зазначена проблема стосується міської ради, як органу місцевого самоврядування,   суб’єктів господарювання всіх форм власності та громадян. </w:t>
      </w:r>
    </w:p>
    <w:p w:rsidR="00D848CB" w:rsidRDefault="00D848CB">
      <w:pPr>
        <w:pStyle w:val="130"/>
        <w:shd w:val="clear" w:color="auto" w:fill="FFFFFF"/>
        <w:tabs>
          <w:tab w:val="left" w:pos="9355"/>
        </w:tabs>
        <w:spacing w:before="0" w:after="0"/>
        <w:ind w:firstLine="539"/>
      </w:pPr>
      <w:r>
        <w:rPr>
          <w:color w:val="000000"/>
        </w:rPr>
        <w:t xml:space="preserve">   </w:t>
      </w:r>
      <w:r>
        <w:rPr>
          <w:color w:val="000000"/>
          <w:lang w:eastAsia="uk-UA"/>
        </w:rPr>
        <w:t>Основні групи (підгрупи), на які проблема справляє вплив: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5807"/>
        <w:gridCol w:w="2269"/>
        <w:gridCol w:w="1836"/>
      </w:tblGrid>
      <w:tr w:rsidR="00D848CB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Групи (підгрупи)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Так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Ні</w:t>
            </w:r>
          </w:p>
        </w:tc>
      </w:tr>
      <w:tr w:rsidR="00D848CB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</w:pPr>
            <w:r>
              <w:rPr>
                <w:color w:val="000000"/>
                <w:lang w:eastAsia="uk-UA"/>
              </w:rPr>
              <w:t>Громадяни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+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-</w:t>
            </w:r>
          </w:p>
        </w:tc>
      </w:tr>
      <w:tr w:rsidR="00D848CB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</w:pPr>
            <w:r>
              <w:rPr>
                <w:color w:val="000000"/>
                <w:lang w:eastAsia="uk-UA"/>
              </w:rPr>
              <w:t xml:space="preserve">Орган місцевого самоврядування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+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-</w:t>
            </w:r>
          </w:p>
        </w:tc>
      </w:tr>
      <w:tr w:rsidR="00D848CB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</w:pPr>
            <w:r>
              <w:rPr>
                <w:color w:val="000000"/>
                <w:lang w:eastAsia="uk-UA"/>
              </w:rPr>
              <w:t>Суб’єкти господарювання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+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-</w:t>
            </w:r>
          </w:p>
        </w:tc>
      </w:tr>
      <w:tr w:rsidR="00D848CB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</w:pPr>
            <w:r>
              <w:rPr>
                <w:color w:val="000000"/>
                <w:lang w:eastAsia="uk-UA"/>
              </w:rPr>
              <w:t>у тому числі суб’єкти малого підприємництва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+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-</w:t>
            </w:r>
          </w:p>
        </w:tc>
      </w:tr>
    </w:tbl>
    <w:p w:rsidR="00D848CB" w:rsidRDefault="00D848CB">
      <w:pPr>
        <w:shd w:val="clear" w:color="auto" w:fill="FFFFFF"/>
        <w:ind w:firstLine="709"/>
        <w:jc w:val="both"/>
      </w:pPr>
      <w:r>
        <w:rPr>
          <w:color w:val="000000"/>
          <w:lang w:eastAsia="ru-RU"/>
        </w:rPr>
        <w:t>Очікуваними вигодами внаслідок прийняття зазначеного рішення є:</w:t>
      </w:r>
    </w:p>
    <w:p w:rsidR="00D848CB" w:rsidRDefault="00D848CB">
      <w:pPr>
        <w:shd w:val="clear" w:color="auto" w:fill="FFFFFF"/>
        <w:ind w:firstLine="709"/>
        <w:jc w:val="both"/>
      </w:pPr>
      <w:r>
        <w:rPr>
          <w:color w:val="000000"/>
          <w:lang w:eastAsia="ru-RU"/>
        </w:rPr>
        <w:t xml:space="preserve">- </w:t>
      </w:r>
      <w:r>
        <w:rPr>
          <w:color w:val="000000"/>
          <w:u w:val="single"/>
          <w:lang w:eastAsia="ru-RU"/>
        </w:rPr>
        <w:t>для населення громади</w:t>
      </w:r>
      <w:r>
        <w:rPr>
          <w:color w:val="000000"/>
          <w:lang w:eastAsia="ru-RU"/>
        </w:rPr>
        <w:t>: отримання повноцінних якісних та своєчасних послуг, особливо в літній період, забезпечення санітарного порядку;</w:t>
      </w:r>
    </w:p>
    <w:p w:rsidR="00D848CB" w:rsidRDefault="00D848CB">
      <w:pPr>
        <w:shd w:val="clear" w:color="auto" w:fill="FFFFFF"/>
        <w:ind w:firstLine="709"/>
        <w:jc w:val="both"/>
      </w:pPr>
      <w:r>
        <w:rPr>
          <w:color w:val="000000"/>
          <w:lang w:eastAsia="ru-RU"/>
        </w:rPr>
        <w:t xml:space="preserve">- </w:t>
      </w:r>
      <w:r>
        <w:rPr>
          <w:color w:val="000000"/>
          <w:u w:val="single"/>
          <w:lang w:eastAsia="ru-RU"/>
        </w:rPr>
        <w:t>для фізичних та юридичних осіб підприємців</w:t>
      </w:r>
      <w:r>
        <w:rPr>
          <w:color w:val="000000"/>
          <w:lang w:eastAsia="ru-RU"/>
        </w:rPr>
        <w:t>: стабільна робота, можливість подальшого розвитку підприємницької діяльності за рахунок надходжень від реалізації товарів і послуг;</w:t>
      </w:r>
    </w:p>
    <w:p w:rsidR="00D848CB" w:rsidRDefault="00D848CB">
      <w:pPr>
        <w:shd w:val="clear" w:color="auto" w:fill="FFFFFF"/>
        <w:ind w:firstLine="709"/>
        <w:jc w:val="both"/>
      </w:pPr>
      <w:r>
        <w:rPr>
          <w:color w:val="000000"/>
          <w:lang w:eastAsia="ru-RU"/>
        </w:rPr>
        <w:t xml:space="preserve">- </w:t>
      </w:r>
      <w:r>
        <w:rPr>
          <w:color w:val="000000"/>
          <w:u w:val="single"/>
          <w:lang w:eastAsia="ru-RU"/>
        </w:rPr>
        <w:t>для органів місцевого самоврядування</w:t>
      </w:r>
      <w:r>
        <w:rPr>
          <w:color w:val="000000"/>
          <w:lang w:eastAsia="ru-RU"/>
        </w:rPr>
        <w:t>: забезпечення життєдіяльності населення, стабільні надходження до міського бюджету.</w:t>
      </w:r>
    </w:p>
    <w:p w:rsidR="00D848CB" w:rsidRDefault="00D848CB">
      <w:pPr>
        <w:suppressAutoHyphens w:val="0"/>
        <w:ind w:firstLine="708"/>
        <w:jc w:val="both"/>
        <w:rPr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</w:pPr>
      <w:r>
        <w:rPr>
          <w:b/>
          <w:bCs/>
          <w:color w:val="000000"/>
          <w:lang w:eastAsia="uk-UA"/>
        </w:rPr>
        <w:t>II. Цілі регулювання</w:t>
      </w:r>
      <w:r>
        <w:rPr>
          <w:color w:val="000000"/>
          <w:lang w:eastAsia="uk-UA"/>
        </w:rPr>
        <w:t xml:space="preserve"> </w:t>
      </w:r>
    </w:p>
    <w:p w:rsidR="00D848CB" w:rsidRDefault="00D848CB">
      <w:pPr>
        <w:ind w:firstLine="709"/>
        <w:jc w:val="both"/>
      </w:pPr>
      <w:r>
        <w:rPr>
          <w:color w:val="000000"/>
          <w:shd w:val="clear" w:color="auto" w:fill="FFFFFF"/>
        </w:rPr>
        <w:t xml:space="preserve">Цілями прийняття даного регуляторного акта є:  </w:t>
      </w:r>
    </w:p>
    <w:p w:rsidR="00D848CB" w:rsidRDefault="00D848CB">
      <w:pPr>
        <w:ind w:firstLine="709"/>
        <w:jc w:val="both"/>
      </w:pPr>
      <w:r>
        <w:rPr>
          <w:color w:val="000000"/>
        </w:rPr>
        <w:t xml:space="preserve">- організація тимчасового користування окремими елементами благоустрою комунальної власності для розміщення та функціонування тимчасових споруд, малих архітектурних форм торговельного, побутового та соціально-культурного призначення  для провадження підприємницької діяльності, </w:t>
      </w:r>
      <w:r w:rsidRPr="00E66DEF">
        <w:rPr>
          <w:color w:val="000000"/>
          <w:shd w:val="clear" w:color="auto" w:fill="FFFFFF"/>
        </w:rPr>
        <w:t>інших майданчиків, атракціонів, лунапарків, пересувних цирк</w:t>
      </w:r>
      <w:r w:rsidRPr="00833EE4">
        <w:rPr>
          <w:color w:val="000000"/>
          <w:shd w:val="clear" w:color="auto" w:fill="FFFFFF"/>
        </w:rPr>
        <w:t>ів</w:t>
      </w:r>
      <w:r>
        <w:rPr>
          <w:color w:val="000000"/>
        </w:rPr>
        <w:t xml:space="preserve"> з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метою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отримання додаткових надходжень до місцевого бюджету;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>- створення нормативно – правового акта, який відповідає вимогам чинного законодавства України;</w:t>
      </w:r>
    </w:p>
    <w:p w:rsidR="00D848CB" w:rsidRDefault="00D848CB">
      <w:pPr>
        <w:shd w:val="clear" w:color="auto" w:fill="FFFFFF"/>
        <w:ind w:firstLine="714"/>
        <w:jc w:val="both"/>
      </w:pPr>
      <w:r>
        <w:rPr>
          <w:color w:val="000000"/>
          <w:lang w:eastAsia="ru-RU"/>
        </w:rPr>
        <w:t>- сприяння розвитку підприємницької діяльності та інфраструктури у громаді;</w:t>
      </w:r>
    </w:p>
    <w:p w:rsidR="00D848CB" w:rsidRDefault="00D848CB">
      <w:pPr>
        <w:shd w:val="clear" w:color="auto" w:fill="FFFFFF"/>
        <w:tabs>
          <w:tab w:val="left" w:pos="882"/>
        </w:tabs>
        <w:ind w:firstLine="714"/>
        <w:jc w:val="both"/>
      </w:pPr>
      <w:r>
        <w:rPr>
          <w:color w:val="000000"/>
          <w:lang w:eastAsia="ru-RU"/>
        </w:rPr>
        <w:t>- створення нових робочих місць;</w:t>
      </w:r>
    </w:p>
    <w:p w:rsidR="00D848CB" w:rsidRDefault="00D848CB">
      <w:pPr>
        <w:shd w:val="clear" w:color="auto" w:fill="FFFFFF"/>
        <w:ind w:firstLine="714"/>
        <w:jc w:val="both"/>
      </w:pPr>
      <w:r>
        <w:rPr>
          <w:color w:val="000000"/>
          <w:lang w:eastAsia="ru-RU"/>
        </w:rPr>
        <w:t>- належна організація благоустрою;</w:t>
      </w:r>
    </w:p>
    <w:p w:rsidR="00D848CB" w:rsidRDefault="00D848CB">
      <w:pPr>
        <w:shd w:val="clear" w:color="auto" w:fill="FFFFFF"/>
        <w:ind w:firstLine="714"/>
        <w:jc w:val="both"/>
      </w:pPr>
      <w:r>
        <w:rPr>
          <w:color w:val="000000"/>
          <w:lang w:eastAsia="ru-RU"/>
        </w:rPr>
        <w:t>- утримання та ремонт комунального майна міської громади; ефективне використання комунального майна;</w:t>
      </w:r>
    </w:p>
    <w:p w:rsidR="00D848CB" w:rsidRPr="00E66DEF" w:rsidRDefault="00D848CB">
      <w:pPr>
        <w:pStyle w:val="20"/>
        <w:ind w:left="0" w:right="-1" w:firstLine="708"/>
        <w:jc w:val="both"/>
        <w:rPr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4"/>
          <w:lang w:val="uk-UA" w:eastAsia="uk-UA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визначення механізму укладення договору </w:t>
      </w:r>
      <w:r>
        <w:rPr>
          <w:rFonts w:ascii="Times New Roman" w:hAnsi="Times New Roman" w:cs="Times New Roman"/>
          <w:color w:val="000000"/>
          <w:spacing w:val="-5"/>
          <w:sz w:val="24"/>
          <w:lang w:val="uk-UA"/>
        </w:rPr>
        <w:t xml:space="preserve">про надання у тимчасове користування елемента благоустрою для </w:t>
      </w:r>
      <w:r>
        <w:rPr>
          <w:rFonts w:ascii="Times New Roman" w:hAnsi="Times New Roman" w:cs="Times New Roman"/>
          <w:color w:val="000000"/>
          <w:sz w:val="24"/>
          <w:lang w:val="uk-UA"/>
        </w:rPr>
        <w:t>розміщення та функціонування тимчасових споруд, малих архітектурних форм,</w:t>
      </w:r>
      <w:r>
        <w:rPr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інших майданчиків </w:t>
      </w:r>
      <w:r>
        <w:rPr>
          <w:color w:val="000000"/>
          <w:sz w:val="24"/>
          <w:lang w:val="uk-UA"/>
        </w:rPr>
        <w:t>і</w:t>
      </w:r>
      <w:r>
        <w:rPr>
          <w:rFonts w:ascii="Times New Roman" w:hAnsi="Times New Roman" w:cs="Times New Roman"/>
          <w:color w:val="000000"/>
          <w:sz w:val="24"/>
          <w:lang w:val="uk-UA" w:eastAsia="uk-UA"/>
        </w:rPr>
        <w:t>з  суб’єктами  підприємницької діяльності;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 xml:space="preserve">- забезпечення єдиного підходу до усіх суб’єктів господарювання щодо виконання встановлених вимог; 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>В результаті прийняття даного рішення очікуються надходження до бюджету в розмірі близько до 150 тис. грн. в рік.</w:t>
      </w:r>
    </w:p>
    <w:p w:rsidR="00D848CB" w:rsidRDefault="00D848CB">
      <w:pPr>
        <w:shd w:val="clear" w:color="auto" w:fill="FFFFFF"/>
        <w:ind w:firstLine="567"/>
        <w:jc w:val="both"/>
      </w:pPr>
      <w:r>
        <w:rPr>
          <w:color w:val="000000"/>
        </w:rPr>
        <w:t>Даний порядок в</w:t>
      </w:r>
      <w:r>
        <w:rPr>
          <w:color w:val="000000"/>
          <w:lang w:eastAsia="ru-RU"/>
        </w:rPr>
        <w:t>регулює відносини між міською радою та підприємцями у сфері надання населенню громади та відпочиваючим торговельних, побутових та інших послуг.</w:t>
      </w:r>
    </w:p>
    <w:p w:rsidR="00D848CB" w:rsidRDefault="00D848CB">
      <w:pPr>
        <w:tabs>
          <w:tab w:val="left" w:pos="851"/>
        </w:tabs>
        <w:jc w:val="both"/>
        <w:rPr>
          <w:color w:val="000000"/>
          <w:lang w:eastAsia="uk-UA"/>
        </w:rPr>
      </w:pPr>
    </w:p>
    <w:p w:rsidR="00D848CB" w:rsidRDefault="00D848CB">
      <w:pPr>
        <w:suppressAutoHyphens w:val="0"/>
      </w:pPr>
      <w:r>
        <w:rPr>
          <w:color w:val="000000"/>
          <w:lang w:eastAsia="uk-UA"/>
        </w:rPr>
        <w:t> </w:t>
      </w:r>
      <w:r>
        <w:rPr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>ІІІ. Визначення та оцінка альтернативних способів досягнення цілей</w:t>
      </w:r>
    </w:p>
    <w:p w:rsidR="00D848CB" w:rsidRDefault="00D848CB">
      <w:pPr>
        <w:pStyle w:val="13"/>
        <w:numPr>
          <w:ilvl w:val="0"/>
          <w:numId w:val="2"/>
        </w:numPr>
        <w:suppressAutoHyphens w:val="0"/>
      </w:pPr>
      <w:r>
        <w:rPr>
          <w:color w:val="000000"/>
          <w:lang w:val="uk-UA" w:eastAsia="uk-UA"/>
        </w:rPr>
        <w:t>Визначення альтернативних способів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/>
      </w:tblPr>
      <w:tblGrid>
        <w:gridCol w:w="3119"/>
        <w:gridCol w:w="6796"/>
      </w:tblGrid>
      <w:tr w:rsidR="00D848CB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uk-UA"/>
              </w:rPr>
              <w:t>Вид альтернативи</w:t>
            </w:r>
          </w:p>
        </w:tc>
        <w:tc>
          <w:tcPr>
            <w:tcW w:w="6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uk-UA"/>
              </w:rPr>
              <w:t>Опис альтернативи</w:t>
            </w:r>
          </w:p>
        </w:tc>
      </w:tr>
      <w:tr w:rsidR="00D848CB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1.</w:t>
            </w:r>
          </w:p>
          <w:p w:rsidR="00D848CB" w:rsidRDefault="00D848CB">
            <w:pPr>
              <w:widowControl w:val="0"/>
              <w:ind w:right="75"/>
              <w:jc w:val="both"/>
            </w:pPr>
            <w:r>
              <w:rPr>
                <w:color w:val="000000"/>
                <w:shd w:val="clear" w:color="auto" w:fill="FFFFFF"/>
              </w:rPr>
              <w:t>Залишення існуючої на даний момент ситуації без змін</w:t>
            </w:r>
          </w:p>
        </w:tc>
        <w:tc>
          <w:tcPr>
            <w:tcW w:w="6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</w:rPr>
              <w:t>Перший альтернативний спосіб досягнути цілі і вирішення проблеми-чекати прийняття рішення на центральному рівні. Перший альтернативний спосіб досягнути цілі і вирішення проблеми не дозволяє вирішити питання ефективного використання окремих елементів благоустрою міської комунальної власності</w:t>
            </w:r>
            <w:r>
              <w:rPr>
                <w:color w:val="000000"/>
                <w:lang w:eastAsia="ru-RU"/>
              </w:rPr>
              <w:t xml:space="preserve"> .</w:t>
            </w:r>
          </w:p>
        </w:tc>
      </w:tr>
      <w:tr w:rsidR="00D848CB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2.</w:t>
            </w:r>
          </w:p>
          <w:p w:rsidR="00D848CB" w:rsidRDefault="00D848CB">
            <w:pPr>
              <w:widowControl w:val="0"/>
              <w:ind w:right="75"/>
              <w:jc w:val="both"/>
            </w:pP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6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57" w:right="57"/>
              <w:jc w:val="both"/>
            </w:pPr>
            <w:r>
              <w:rPr>
                <w:color w:val="000000"/>
                <w:shd w:val="clear" w:color="auto" w:fill="FFFFFF"/>
              </w:rPr>
              <w:t xml:space="preserve">Не є можливим. </w:t>
            </w:r>
            <w:r>
              <w:rPr>
                <w:color w:val="000000"/>
                <w:lang w:eastAsia="ru-RU"/>
              </w:rPr>
              <w:t>Дана проблема не може бути розв’язана за допомогою ринкових механізмів, тому що тільки органи місцевого самоврядування мають повноваження щодо визначення порядку використання майна міської комунальної власності, а саме елементів благоустрою. Інших регуляторних актів у громаді  по цьому питанню не приймалось.</w:t>
            </w:r>
          </w:p>
        </w:tc>
      </w:tr>
      <w:tr w:rsidR="00D848CB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3.</w:t>
            </w:r>
          </w:p>
          <w:p w:rsidR="00D848CB" w:rsidRDefault="00D848CB">
            <w:pPr>
              <w:widowControl w:val="0"/>
              <w:ind w:right="75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6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57" w:right="57"/>
              <w:jc w:val="both"/>
              <w:textAlignment w:val="baseline"/>
            </w:pPr>
            <w:r>
              <w:rPr>
                <w:color w:val="000000"/>
                <w:shd w:val="clear" w:color="auto" w:fill="FFFFFF"/>
              </w:rPr>
              <w:t>Рішення міської ради відповідає чинному законодавству України та створює сприятливі умови для життєдіяльності  громадян  і суб’єктів господарювання.</w:t>
            </w:r>
            <w:r>
              <w:rPr>
                <w:color w:val="000000"/>
              </w:rPr>
              <w:t xml:space="preserve"> Даний альтернативний спосіб є більш прийнятним, оскільки </w:t>
            </w:r>
            <w:r>
              <w:rPr>
                <w:bCs/>
                <w:color w:val="000000"/>
              </w:rPr>
              <w:t>надасть можливість е</w:t>
            </w:r>
            <w:r>
              <w:rPr>
                <w:color w:val="000000"/>
              </w:rPr>
              <w:t>фективно управляти майном міської комунальної власності.</w:t>
            </w:r>
          </w:p>
        </w:tc>
      </w:tr>
      <w:tr w:rsidR="00D848CB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4.</w:t>
            </w:r>
          </w:p>
          <w:p w:rsidR="00D848CB" w:rsidRDefault="00D848CB">
            <w:pPr>
              <w:widowControl w:val="0"/>
              <w:ind w:right="75"/>
            </w:pPr>
            <w:r>
              <w:rPr>
                <w:color w:val="000000"/>
                <w:lang w:eastAsia="ru-RU"/>
              </w:rPr>
              <w:t>Заборона користування елементами благоустрою при розміщенні тимчасових споруд</w:t>
            </w:r>
          </w:p>
        </w:tc>
        <w:tc>
          <w:tcPr>
            <w:tcW w:w="6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 w:rsidP="00833EE4">
            <w:pPr>
              <w:ind w:left="57" w:right="57"/>
              <w:jc w:val="both"/>
              <w:textAlignment w:val="baseline"/>
            </w:pPr>
            <w:r>
              <w:rPr>
                <w:color w:val="000000"/>
                <w:lang w:eastAsia="ru-RU"/>
              </w:rPr>
              <w:t xml:space="preserve">Також не може вважатися прийнятною альтернативою через те, що за рахунок нових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 w:rsidRPr="00E66DEF">
              <w:rPr>
                <w:b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lang w:eastAsia="ru-RU"/>
              </w:rPr>
              <w:t xml:space="preserve"> для підприємницької діяльності будуть створені нові робочі місця. Це дасть додатковий дохід до міського бюджету на соціальні програми та допоможе знизити рівень безробіття.</w:t>
            </w:r>
          </w:p>
        </w:tc>
      </w:tr>
    </w:tbl>
    <w:p w:rsidR="00D848CB" w:rsidRDefault="00D848CB">
      <w:pPr>
        <w:suppressAutoHyphens w:val="0"/>
        <w:ind w:firstLine="708"/>
        <w:rPr>
          <w:color w:val="000000"/>
          <w:lang w:eastAsia="uk-UA"/>
        </w:rPr>
      </w:pPr>
    </w:p>
    <w:p w:rsidR="00D848CB" w:rsidRDefault="00D848CB">
      <w:pPr>
        <w:suppressAutoHyphens w:val="0"/>
        <w:ind w:firstLine="708"/>
      </w:pPr>
      <w:r>
        <w:rPr>
          <w:color w:val="000000"/>
          <w:lang w:eastAsia="uk-UA"/>
        </w:rPr>
        <w:t>2. Оцінка вибраних альтернативних способів досягнення цілей</w:t>
      </w:r>
      <w:r>
        <w:rPr>
          <w:i/>
          <w:iCs/>
          <w:color w:val="000000"/>
          <w:lang w:eastAsia="uk-UA"/>
        </w:rPr>
        <w:t>.</w:t>
      </w:r>
    </w:p>
    <w:p w:rsidR="00D848CB" w:rsidRDefault="00D848CB">
      <w:pPr>
        <w:suppressAutoHyphens w:val="0"/>
        <w:ind w:firstLine="708"/>
      </w:pPr>
      <w:r>
        <w:rPr>
          <w:i/>
          <w:iCs/>
          <w:color w:val="000000"/>
          <w:lang w:eastAsia="uk-UA"/>
        </w:rPr>
        <w:t>Оцінка впливу на сферу інтересів органів місцевого самоврядування.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547"/>
        <w:gridCol w:w="2977"/>
        <w:gridCol w:w="4387"/>
      </w:tblGrid>
      <w:tr w:rsidR="00D848CB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uk-UA"/>
              </w:rPr>
              <w:t>Вид альтернативи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uk-UA"/>
              </w:rPr>
              <w:t>Вигоди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uk-UA"/>
              </w:rPr>
              <w:t>Витрати</w:t>
            </w:r>
          </w:p>
        </w:tc>
      </w:tr>
      <w:tr w:rsidR="00D848CB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1.</w:t>
            </w:r>
          </w:p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color w:val="000000"/>
                <w:shd w:val="clear" w:color="auto" w:fill="FFFFFF"/>
              </w:rPr>
              <w:t>Залишення існуючої на даний момент ситуації без змін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80"/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 w:rsidP="00833EE4">
            <w:pPr>
              <w:widowControl w:val="0"/>
              <w:ind w:left="40" w:right="131"/>
              <w:jc w:val="both"/>
            </w:pPr>
            <w:r>
              <w:rPr>
                <w:color w:val="000000"/>
                <w:spacing w:val="1"/>
                <w:shd w:val="clear" w:color="auto" w:fill="FFFFFF"/>
              </w:rPr>
              <w:t xml:space="preserve">   Наразі суб’єкти господарювання  тимчасово користуються елементами благоустрою при розміщенні тимчасових споруд малих архітектурних форм,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 w:rsidRPr="00E66DEF">
              <w:rPr>
                <w:b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, а утримання /ремонт  елементів благоустрою відбувається за рахунок бюджету громади. </w:t>
            </w:r>
            <w:r>
              <w:rPr>
                <w:color w:val="000000"/>
                <w:shd w:val="clear" w:color="auto" w:fill="FFFFFF"/>
              </w:rPr>
              <w:t>Така альтернатива  не забезпечує відповідальне ставлення суб’єктів господарювання до елементів комунального майна громади. Кошти на ремонт (утримання) елементів благоустрою продовжуватимуться витрачатися з міського бюджету.</w:t>
            </w:r>
          </w:p>
        </w:tc>
      </w:tr>
      <w:tr w:rsidR="00D848CB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2.</w:t>
            </w:r>
          </w:p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80"/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right="131"/>
              <w:jc w:val="both"/>
            </w:pPr>
            <w:r>
              <w:rPr>
                <w:color w:val="000000"/>
                <w:shd w:val="clear" w:color="auto" w:fill="FFFFFF"/>
              </w:rPr>
              <w:t xml:space="preserve">   Бюджет громади не може в повному обсязі забезпечити постійне утримання та періодичне відновлення елементів  благоустрою.</w:t>
            </w:r>
          </w:p>
          <w:p w:rsidR="00D848CB" w:rsidRDefault="00D848CB">
            <w:pPr>
              <w:ind w:left="40" w:right="131"/>
              <w:jc w:val="both"/>
            </w:pPr>
            <w:r>
              <w:rPr>
                <w:color w:val="000000"/>
                <w:lang w:eastAsia="ru-RU"/>
              </w:rPr>
              <w:t xml:space="preserve">    Регуляторний акт має місцевий характер, тільки органи місцевого самоврядування мають повноваження щодо визначення порядку використання майна міської комунальної власності, а саме елементів благоустрою.</w:t>
            </w:r>
          </w:p>
        </w:tc>
      </w:tr>
      <w:tr w:rsidR="00D848CB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b/>
                <w:color w:val="000000"/>
                <w:spacing w:val="1"/>
              </w:rPr>
              <w:t>Альтернатива 3.</w:t>
            </w:r>
          </w:p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57" w:right="57"/>
            </w:pPr>
            <w:r>
              <w:rPr>
                <w:color w:val="000000"/>
                <w:lang w:eastAsia="ru-RU"/>
              </w:rPr>
              <w:t>Збільшення  надходжень до міського бюджету (при укладанні договорів  з всіма суб’єктами, що підпадають під дію акта загальні щорічні надходження  складатимуть до 150  тис. грн.). Додаткові надходження направлятимуться на   відновлення /ремонт елементів благоустрою, що забезпечить належну організацію благоустрою громади, сприятиме інвестиційній привабливості громади.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40" w:right="130"/>
              <w:jc w:val="both"/>
            </w:pPr>
            <w:r>
              <w:rPr>
                <w:color w:val="000000"/>
                <w:lang w:eastAsia="ru-RU"/>
              </w:rPr>
              <w:t xml:space="preserve">   Витрати  по контролю за сплатою платежів за тимчасове користування елементами благоустрою.</w:t>
            </w:r>
          </w:p>
        </w:tc>
      </w:tr>
      <w:tr w:rsidR="00D848CB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</w:p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color w:val="000000"/>
                <w:lang w:eastAsia="ru-RU"/>
              </w:rPr>
              <w:t>Заборона користування елементами благоустрою при розміщенні тимчасових споруд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80"/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80" w:right="79"/>
              <w:jc w:val="both"/>
            </w:pPr>
            <w:r>
              <w:rPr>
                <w:color w:val="000000"/>
                <w:lang w:eastAsia="ru-RU"/>
              </w:rPr>
              <w:t>Не будуть створені нові робочі місця (як результат не буде додаткових надходжень з  оплати податків з заробітної плати). Міський бюджет продовжить нести витрати на утримання/ремонт елементів благоустрою.</w:t>
            </w:r>
          </w:p>
        </w:tc>
      </w:tr>
    </w:tbl>
    <w:p w:rsidR="00D848CB" w:rsidRDefault="00D848CB">
      <w:pPr>
        <w:suppressAutoHyphens w:val="0"/>
        <w:ind w:firstLine="708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</w:pPr>
      <w:r>
        <w:rPr>
          <w:i/>
          <w:iCs/>
          <w:color w:val="000000"/>
          <w:lang w:eastAsia="uk-UA"/>
        </w:rPr>
        <w:t>Оцінка впливу на сферу інтересів громадян.</w:t>
      </w:r>
    </w:p>
    <w:tbl>
      <w:tblPr>
        <w:tblW w:w="0" w:type="auto"/>
        <w:tblInd w:w="15" w:type="dxa"/>
        <w:tblLayout w:type="fixed"/>
        <w:tblCellMar>
          <w:left w:w="15" w:type="dxa"/>
          <w:right w:w="10" w:type="dxa"/>
        </w:tblCellMar>
        <w:tblLook w:val="0000"/>
      </w:tblPr>
      <w:tblGrid>
        <w:gridCol w:w="2870"/>
        <w:gridCol w:w="3270"/>
        <w:gridCol w:w="3545"/>
      </w:tblGrid>
      <w:tr w:rsidR="00D848CB">
        <w:trPr>
          <w:trHeight w:hRule="exact" w:val="319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848CB" w:rsidRDefault="00D848CB">
            <w:pPr>
              <w:widowControl w:val="0"/>
              <w:jc w:val="center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Вид альтернативи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848CB" w:rsidRDefault="00D848CB">
            <w:pPr>
              <w:widowControl w:val="0"/>
              <w:jc w:val="center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Вигоди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848CB" w:rsidRDefault="00D848CB">
            <w:pPr>
              <w:widowControl w:val="0"/>
              <w:jc w:val="center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Витрати</w:t>
            </w:r>
          </w:p>
        </w:tc>
      </w:tr>
      <w:tr w:rsidR="00D848CB" w:rsidTr="00325B60">
        <w:trPr>
          <w:trHeight w:hRule="exact" w:val="1712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 w:right="132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1.</w:t>
            </w:r>
          </w:p>
          <w:p w:rsidR="00D848CB" w:rsidRDefault="00D848CB">
            <w:pPr>
              <w:widowControl w:val="0"/>
              <w:ind w:left="80" w:right="132"/>
              <w:jc w:val="both"/>
            </w:pPr>
            <w:r>
              <w:rPr>
                <w:color w:val="000000"/>
                <w:shd w:val="clear" w:color="auto" w:fill="FFFFFF"/>
              </w:rPr>
              <w:t>Залишення існуючої на даний момент ситуації без змін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 w:rsidP="00031310">
            <w:pPr>
              <w:ind w:left="57" w:right="57"/>
            </w:pPr>
            <w:r>
              <w:rPr>
                <w:color w:val="000000"/>
                <w:lang w:eastAsia="ru-RU"/>
              </w:rPr>
              <w:t>Бюджетні кошти, що направляються на ремонт, відновлення елементів благоустрою могли бути направлені на  розвиток соціальної сфери громади.</w:t>
            </w:r>
          </w:p>
        </w:tc>
      </w:tr>
      <w:tr w:rsidR="00D848CB" w:rsidTr="00325B60">
        <w:trPr>
          <w:trHeight w:hRule="exact" w:val="1553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 w:right="132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2.</w:t>
            </w:r>
          </w:p>
          <w:p w:rsidR="00D848CB" w:rsidRDefault="00D848CB">
            <w:pPr>
              <w:widowControl w:val="0"/>
              <w:ind w:left="80" w:right="132"/>
              <w:jc w:val="both"/>
            </w:pP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Відсутні</w:t>
            </w:r>
          </w:p>
        </w:tc>
      </w:tr>
      <w:tr w:rsidR="00D848CB">
        <w:trPr>
          <w:trHeight w:hRule="exact" w:val="3406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3</w:t>
            </w:r>
            <w:r>
              <w:rPr>
                <w:color w:val="000000"/>
                <w:spacing w:val="1"/>
                <w:shd w:val="clear" w:color="auto" w:fill="FFFFFF"/>
              </w:rPr>
              <w:t>.</w:t>
            </w:r>
          </w:p>
          <w:p w:rsidR="00D848CB" w:rsidRDefault="00D848CB">
            <w:pPr>
              <w:widowControl w:val="0"/>
              <w:ind w:left="80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pStyle w:val="12"/>
              <w:shd w:val="clear" w:color="auto" w:fill="FFFFFF"/>
              <w:spacing w:before="0" w:after="0"/>
              <w:ind w:left="57" w:right="57"/>
            </w:pPr>
            <w:r>
              <w:rPr>
                <w:color w:val="000000"/>
                <w:shd w:val="clear" w:color="auto" w:fill="FFFFFF"/>
              </w:rPr>
              <w:t>1. Належна організація благоустрою.</w:t>
            </w:r>
          </w:p>
          <w:p w:rsidR="00D848CB" w:rsidRDefault="00D848CB">
            <w:pPr>
              <w:pStyle w:val="12"/>
              <w:shd w:val="clear" w:color="auto" w:fill="FFFFFF"/>
              <w:spacing w:before="0" w:after="0"/>
              <w:ind w:left="57" w:right="57"/>
            </w:pPr>
            <w:r>
              <w:rPr>
                <w:color w:val="000000"/>
                <w:shd w:val="clear" w:color="auto" w:fill="FFFFFF"/>
              </w:rPr>
              <w:t>2. Створення нових робочих місць.</w:t>
            </w:r>
          </w:p>
          <w:p w:rsidR="00D848CB" w:rsidRDefault="00D848CB">
            <w:pPr>
              <w:pStyle w:val="12"/>
              <w:shd w:val="clear" w:color="auto" w:fill="FFFFFF"/>
              <w:spacing w:before="0" w:after="0"/>
              <w:ind w:left="57" w:right="57"/>
            </w:pPr>
            <w:r>
              <w:rPr>
                <w:color w:val="000000"/>
                <w:shd w:val="clear" w:color="auto" w:fill="FFFFFF"/>
              </w:rPr>
              <w:t>3. Поповнення бюджету на виконання соціальних програм.</w:t>
            </w:r>
          </w:p>
          <w:p w:rsidR="00D848CB" w:rsidRDefault="00D848CB">
            <w:pPr>
              <w:pStyle w:val="12"/>
              <w:shd w:val="clear" w:color="auto" w:fill="FFFFFF"/>
              <w:spacing w:before="0" w:after="0"/>
              <w:ind w:left="57" w:right="57"/>
            </w:pPr>
            <w:r>
              <w:rPr>
                <w:color w:val="000000"/>
                <w:lang w:eastAsia="ru-RU"/>
              </w:rPr>
              <w:t>4. Отримання повноцінних якісних та своєчасних послуг, с</w:t>
            </w:r>
            <w:r>
              <w:rPr>
                <w:color w:val="000000"/>
                <w:shd w:val="clear" w:color="auto" w:fill="FFFFFF"/>
              </w:rPr>
              <w:t>творення умов для відпочинку,</w:t>
            </w:r>
            <w:r>
              <w:rPr>
                <w:color w:val="000000"/>
                <w:lang w:eastAsia="ru-RU"/>
              </w:rPr>
              <w:t xml:space="preserve"> особливо в літній період.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Відсутні</w:t>
            </w:r>
          </w:p>
          <w:p w:rsidR="00D848CB" w:rsidRDefault="00D848C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48CB" w:rsidTr="00391CC4">
        <w:trPr>
          <w:trHeight w:hRule="exact" w:val="3659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 w:right="75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</w:p>
          <w:p w:rsidR="00D848CB" w:rsidRDefault="00D848CB" w:rsidP="00833EE4">
            <w:pPr>
              <w:widowControl w:val="0"/>
              <w:ind w:left="80"/>
            </w:pPr>
            <w:r>
              <w:rPr>
                <w:color w:val="000000"/>
                <w:lang w:eastAsia="ru-RU"/>
              </w:rPr>
              <w:t xml:space="preserve">Заборона тимчасового користування елементами благоустрою при розміщенні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форм,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 w:rsidRPr="00E66DEF">
              <w:rPr>
                <w:b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lang w:eastAsia="uk-UA"/>
              </w:rPr>
              <w:t xml:space="preserve"> для провадження підприємницької діяльності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pStyle w:val="12"/>
              <w:shd w:val="clear" w:color="auto" w:fill="FFFFFF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Відсутні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Відсутні</w:t>
            </w:r>
          </w:p>
        </w:tc>
      </w:tr>
    </w:tbl>
    <w:p w:rsidR="00D848CB" w:rsidRDefault="00D848CB">
      <w:pPr>
        <w:suppressAutoHyphens w:val="0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rPr>
          <w:i/>
          <w:iCs/>
          <w:color w:val="000000"/>
          <w:lang w:eastAsia="uk-UA"/>
        </w:rPr>
      </w:pPr>
    </w:p>
    <w:p w:rsidR="00D848CB" w:rsidRDefault="00D848CB">
      <w:pPr>
        <w:suppressAutoHyphens w:val="0"/>
        <w:ind w:left="708"/>
        <w:jc w:val="both"/>
      </w:pPr>
      <w:r>
        <w:rPr>
          <w:i/>
          <w:iCs/>
          <w:color w:val="000000"/>
          <w:lang w:eastAsia="uk-UA"/>
        </w:rPr>
        <w:t xml:space="preserve">Оцінка впливу на сферу інтересів суб’єктів господарювання.   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/>
      </w:tblPr>
      <w:tblGrid>
        <w:gridCol w:w="5245"/>
        <w:gridCol w:w="1134"/>
        <w:gridCol w:w="1133"/>
        <w:gridCol w:w="1134"/>
        <w:gridCol w:w="1135"/>
      </w:tblGrid>
      <w:tr w:rsidR="00D848CB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Показник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Великі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Середні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Малі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Разом</w:t>
            </w:r>
          </w:p>
        </w:tc>
      </w:tr>
      <w:tr w:rsidR="00D848CB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</w:pPr>
            <w:r>
              <w:rPr>
                <w:color w:val="000000"/>
                <w:lang w:eastAsia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t>38</w:t>
            </w:r>
          </w:p>
          <w:p w:rsidR="00D848CB" w:rsidRDefault="00D848CB">
            <w:pPr>
              <w:suppressAutoHyphens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53</w:t>
            </w:r>
          </w:p>
        </w:tc>
      </w:tr>
      <w:tr w:rsidR="00D848CB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</w:pPr>
            <w:r>
              <w:rPr>
                <w:color w:val="000000"/>
                <w:lang w:eastAsia="uk-UA"/>
              </w:rPr>
              <w:t>Питома вага групи у загальній кількості, відсотків, 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uppressAutoHyphens w:val="0"/>
              <w:jc w:val="center"/>
            </w:pPr>
            <w:r>
              <w:rPr>
                <w:color w:val="000000"/>
                <w:lang w:eastAsia="uk-UA"/>
              </w:rPr>
              <w:t>100</w:t>
            </w:r>
          </w:p>
        </w:tc>
      </w:tr>
    </w:tbl>
    <w:p w:rsidR="00D848CB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p w:rsidR="00D848CB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p w:rsidR="00D848CB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p w:rsidR="00D848CB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p w:rsidR="00D848CB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p w:rsidR="00D848CB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p w:rsidR="00D848CB" w:rsidRPr="00391CC4" w:rsidRDefault="00D848CB">
      <w:pPr>
        <w:suppressAutoHyphens w:val="0"/>
        <w:ind w:left="708"/>
        <w:jc w:val="both"/>
        <w:rPr>
          <w:iCs/>
          <w:color w:val="000000"/>
          <w:lang w:val="en-US" w:eastAsia="uk-UA"/>
        </w:rPr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/>
      </w:tblPr>
      <w:tblGrid>
        <w:gridCol w:w="3433"/>
        <w:gridCol w:w="3151"/>
        <w:gridCol w:w="3050"/>
      </w:tblGrid>
      <w:tr w:rsidR="00D848CB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jc w:val="center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Вид альтернативи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jc w:val="center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Вигоди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jc w:val="center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Витрати</w:t>
            </w:r>
          </w:p>
        </w:tc>
      </w:tr>
      <w:tr w:rsidR="00D848CB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 w:right="132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1.</w:t>
            </w:r>
          </w:p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shd w:val="clear" w:color="auto" w:fill="FFFFFF"/>
              </w:rPr>
              <w:t>Залишення існуючої на даний момент ситуації без змін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lang w:eastAsia="ru-RU"/>
              </w:rPr>
              <w:t xml:space="preserve">Підприємці не несуть витрат, хоча користуються елементами благоустрою, розмістивши на них  </w:t>
            </w:r>
            <w:r>
              <w:rPr>
                <w:color w:val="000000"/>
                <w:lang w:eastAsia="uk-UA"/>
              </w:rPr>
              <w:t>тимчасових споруд , малих архітектурних форм .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 w:rsidP="00391CC4">
            <w:pPr>
              <w:widowControl w:val="0"/>
              <w:jc w:val="both"/>
            </w:pPr>
            <w:r>
              <w:rPr>
                <w:color w:val="000000"/>
                <w:lang w:eastAsia="ru-RU"/>
              </w:rPr>
              <w:t>Відсутні витрати для суб’єктів господарювання. Всі витрати на ремонт/поновлення елементів благоустрою продовжуватимуться за рахунок міського бюджету.</w:t>
            </w:r>
          </w:p>
        </w:tc>
      </w:tr>
      <w:tr w:rsidR="00D848CB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right="132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2.</w:t>
            </w:r>
          </w:p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lang w:eastAsia="ru-RU"/>
              </w:rPr>
              <w:t>Не передбачаються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lang w:eastAsia="ru-RU"/>
              </w:rPr>
              <w:t>Не передбачаються</w:t>
            </w:r>
          </w:p>
        </w:tc>
      </w:tr>
      <w:tr w:rsidR="00D848CB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3</w:t>
            </w:r>
            <w:r>
              <w:rPr>
                <w:color w:val="000000"/>
                <w:spacing w:val="1"/>
                <w:shd w:val="clear" w:color="auto" w:fill="FFFFFF"/>
              </w:rPr>
              <w:t>.</w:t>
            </w:r>
          </w:p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-1" w:right="57"/>
              <w:jc w:val="both"/>
            </w:pPr>
            <w:r>
              <w:rPr>
                <w:color w:val="000000"/>
                <w:lang w:eastAsia="ru-RU"/>
              </w:rPr>
              <w:t xml:space="preserve">1. Буде забезпечена </w:t>
            </w:r>
            <w:r>
              <w:rPr>
                <w:color w:val="000000"/>
              </w:rPr>
              <w:t xml:space="preserve">прозора та відкрита процедура сплати за тимчасове користування елементами  благоустрою території  при   розміщенні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>
              <w:rPr>
                <w:color w:val="000000"/>
              </w:rPr>
              <w:t>, що сприятиме розвитку підприємництва.</w:t>
            </w:r>
          </w:p>
          <w:p w:rsidR="00D848CB" w:rsidRDefault="00D848CB">
            <w:pPr>
              <w:ind w:left="-1" w:right="57"/>
              <w:jc w:val="both"/>
            </w:pPr>
            <w:r>
              <w:rPr>
                <w:color w:val="000000"/>
                <w:lang w:eastAsia="ru-RU"/>
              </w:rPr>
              <w:t>2. Збільшення  надходжень до міського бюджету</w:t>
            </w:r>
          </w:p>
          <w:p w:rsidR="00D848CB" w:rsidRDefault="00D848CB">
            <w:pPr>
              <w:ind w:left="-1" w:right="57"/>
              <w:jc w:val="both"/>
            </w:pPr>
            <w:r>
              <w:rPr>
                <w:color w:val="000000"/>
                <w:lang w:eastAsia="ru-RU"/>
              </w:rPr>
              <w:t>(при укладанні договорів  з усіма суб’єктами, що підпадають під дію акта загальні щорічні надходження  складатимуть 150 тис.грн.)</w:t>
            </w:r>
          </w:p>
          <w:p w:rsidR="00D848CB" w:rsidRDefault="00D848CB">
            <w:pPr>
              <w:pStyle w:val="12"/>
              <w:shd w:val="clear" w:color="auto" w:fill="FFFFFF"/>
              <w:spacing w:before="0" w:after="0"/>
              <w:ind w:left="-1" w:right="57"/>
              <w:jc w:val="both"/>
            </w:pPr>
            <w:r>
              <w:rPr>
                <w:color w:val="000000"/>
                <w:shd w:val="clear" w:color="auto" w:fill="FFFFFF"/>
              </w:rPr>
              <w:t>3.  Належна організація благоустрою сприятиме інвестиційній привабливості громади.</w:t>
            </w:r>
          </w:p>
          <w:p w:rsidR="00D848CB" w:rsidRDefault="00D848CB">
            <w:pPr>
              <w:pStyle w:val="12"/>
              <w:shd w:val="clear" w:color="auto" w:fill="FFFFFF"/>
              <w:spacing w:before="0" w:after="0"/>
              <w:ind w:left="-1" w:right="57"/>
              <w:jc w:val="both"/>
            </w:pPr>
            <w:r>
              <w:rPr>
                <w:color w:val="000000"/>
                <w:shd w:val="clear" w:color="auto" w:fill="FFFFFF"/>
              </w:rPr>
              <w:t>4. Створення нових робочих місць.</w:t>
            </w:r>
          </w:p>
          <w:p w:rsidR="00D848CB" w:rsidRDefault="00D848CB">
            <w:pPr>
              <w:pStyle w:val="12"/>
              <w:shd w:val="clear" w:color="auto" w:fill="FFFFFF"/>
              <w:spacing w:before="0" w:after="0"/>
              <w:ind w:left="-1" w:right="57"/>
              <w:jc w:val="both"/>
            </w:pPr>
            <w:r>
              <w:rPr>
                <w:color w:val="000000"/>
                <w:shd w:val="clear" w:color="auto" w:fill="FFFFFF"/>
              </w:rPr>
              <w:t>5. Додаткові надходження до бюджету будуть направлені  на виконання соціальних програм.</w:t>
            </w:r>
          </w:p>
          <w:p w:rsidR="00D848CB" w:rsidRDefault="00D848CB">
            <w:pPr>
              <w:widowControl w:val="0"/>
              <w:jc w:val="both"/>
            </w:pPr>
            <w:r>
              <w:rPr>
                <w:color w:val="000000"/>
                <w:lang w:eastAsia="ru-RU"/>
              </w:rPr>
              <w:t>6. Населення отримає  повноцінні якісні послуги, що створить у</w:t>
            </w:r>
            <w:r>
              <w:rPr>
                <w:color w:val="000000"/>
                <w:shd w:val="clear" w:color="auto" w:fill="FFFFFF"/>
              </w:rPr>
              <w:t>мови для відпочинку</w:t>
            </w:r>
            <w:r>
              <w:rPr>
                <w:color w:val="000000"/>
                <w:lang w:eastAsia="ru-RU"/>
              </w:rPr>
              <w:t xml:space="preserve"> особливо в літній період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</w:pPr>
            <w:r>
              <w:rPr>
                <w:color w:val="000000"/>
                <w:lang w:eastAsia="ru-RU"/>
              </w:rPr>
              <w:t xml:space="preserve">Додаткові витрати згідно договору про тимчасове користування елементами благоустрою при розміщення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>
              <w:rPr>
                <w:color w:val="000000"/>
                <w:lang w:eastAsia="uk-UA"/>
              </w:rPr>
              <w:t>.</w:t>
            </w:r>
          </w:p>
        </w:tc>
      </w:tr>
      <w:tr w:rsidR="00D848CB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80" w:right="75"/>
              <w:jc w:val="both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</w:p>
          <w:p w:rsidR="00D848CB" w:rsidRDefault="00D848CB">
            <w:pPr>
              <w:widowControl w:val="0"/>
              <w:ind w:left="80"/>
              <w:jc w:val="both"/>
            </w:pPr>
            <w:r>
              <w:rPr>
                <w:color w:val="000000"/>
                <w:lang w:eastAsia="ru-RU"/>
              </w:rPr>
              <w:t xml:space="preserve">Заборона тимчасового користування елементами благоустрою при розміщенні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57" w:right="57"/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57" w:right="57"/>
              <w:jc w:val="both"/>
            </w:pPr>
            <w:r>
              <w:rPr>
                <w:color w:val="000000"/>
                <w:lang w:eastAsia="ru-RU"/>
              </w:rPr>
              <w:t>Втрати від неможливості розвитку та розширення підприємницької діяльності</w:t>
            </w:r>
          </w:p>
        </w:tc>
      </w:tr>
    </w:tbl>
    <w:p w:rsidR="00D848CB" w:rsidRDefault="00D848CB">
      <w:pPr>
        <w:suppressAutoHyphens w:val="0"/>
        <w:rPr>
          <w:b/>
          <w:bCs/>
          <w:i/>
          <w:iCs/>
          <w:color w:val="000000"/>
          <w:lang w:eastAsia="uk-UA"/>
        </w:rPr>
      </w:pPr>
    </w:p>
    <w:p w:rsidR="00D848CB" w:rsidRDefault="00D848CB">
      <w:pPr>
        <w:suppressAutoHyphens w:val="0"/>
        <w:rPr>
          <w:b/>
          <w:bCs/>
          <w:i/>
          <w:iCs/>
          <w:color w:val="000000"/>
          <w:lang w:eastAsia="uk-UA"/>
        </w:rPr>
      </w:pPr>
    </w:p>
    <w:p w:rsidR="00D848CB" w:rsidRDefault="00D848CB">
      <w:pPr>
        <w:jc w:val="center"/>
      </w:pPr>
      <w:r>
        <w:rPr>
          <w:i/>
          <w:color w:val="000000"/>
          <w:lang w:eastAsia="ru-RU"/>
        </w:rPr>
        <w:t>Оцінка впливу на сферу інтересів суб’єктів господарювання великого підприємництва</w:t>
      </w:r>
    </w:p>
    <w:p w:rsidR="00D848CB" w:rsidRDefault="00D848CB">
      <w:pPr>
        <w:suppressAutoHyphens w:val="0"/>
        <w:ind w:firstLine="708"/>
        <w:jc w:val="center"/>
      </w:pPr>
      <w:r>
        <w:rPr>
          <w:color w:val="000000"/>
          <w:lang w:eastAsia="ru-RU"/>
        </w:rPr>
        <w:t>(даний проєкт не впливає на цей сегмент бізнесу).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/>
      </w:tblPr>
      <w:tblGrid>
        <w:gridCol w:w="8414"/>
        <w:gridCol w:w="1506"/>
      </w:tblGrid>
      <w:tr w:rsidR="00D848CB">
        <w:trPr>
          <w:trHeight w:val="469"/>
        </w:trPr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Сумарні витрати за альтернативами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Сума витрат, гривень</w:t>
            </w:r>
          </w:p>
        </w:tc>
      </w:tr>
      <w:tr w:rsidR="00D848CB">
        <w:trPr>
          <w:trHeight w:val="469"/>
        </w:trPr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1.</w:t>
            </w:r>
            <w:r>
              <w:rPr>
                <w:color w:val="000000"/>
                <w:shd w:val="clear" w:color="auto" w:fill="FFFFFF"/>
              </w:rPr>
              <w:t xml:space="preserve"> Залишення існуючої на даний момент ситуації без змін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D848CB">
        <w:trPr>
          <w:trHeight w:val="403"/>
        </w:trPr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2.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Досягнення визначених цілей за допомогою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нормативним актом іншого органу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D848CB">
        <w:trPr>
          <w:trHeight w:val="360"/>
        </w:trPr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3.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  </w:t>
            </w: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D848CB">
        <w:trPr>
          <w:trHeight w:val="568"/>
        </w:trPr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34" w:right="75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  <w:r>
              <w:rPr>
                <w:color w:val="000000"/>
                <w:lang w:eastAsia="ru-RU"/>
              </w:rPr>
              <w:t xml:space="preserve"> Заборона тимчасового користування елементами благоустрою при розміщенні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</w:t>
            </w:r>
            <w:r>
              <w:rPr>
                <w:color w:val="000000"/>
                <w:shd w:val="clear" w:color="auto" w:fill="FFFFFF"/>
              </w:rPr>
              <w:t>-</w:t>
            </w:r>
            <w:r w:rsidRPr="00325B60">
              <w:rPr>
                <w:color w:val="000000"/>
                <w:shd w:val="clear" w:color="auto" w:fill="FFFFFF"/>
              </w:rPr>
              <w:t>парків, пересувних цирків</w:t>
            </w:r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</w:tbl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</w:pPr>
      <w:r>
        <w:rPr>
          <w:b/>
          <w:bCs/>
          <w:color w:val="000000"/>
          <w:lang w:eastAsia="uk-UA"/>
        </w:rPr>
        <w:t>ІV. Вибір найбільш оптимального альтернативного способу досягнення цілей.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3431"/>
        <w:gridCol w:w="2228"/>
        <w:gridCol w:w="4117"/>
      </w:tblGrid>
      <w:tr w:rsidR="00D848CB">
        <w:trPr>
          <w:trHeight w:val="730"/>
        </w:trPr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jc w:val="center"/>
            </w:pPr>
            <w:r>
              <w:rPr>
                <w:color w:val="000000"/>
                <w:spacing w:val="1"/>
                <w:shd w:val="clear" w:color="auto" w:fill="FFFFFF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firstLine="108"/>
              <w:jc w:val="center"/>
            </w:pPr>
            <w:r>
              <w:rPr>
                <w:color w:val="000000"/>
                <w:spacing w:val="1"/>
                <w:shd w:val="clear" w:color="auto" w:fill="FFFFFF"/>
              </w:rPr>
              <w:t>Бал результативності (за чотирибальною системою оцінки)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jc w:val="center"/>
            </w:pPr>
            <w:r>
              <w:rPr>
                <w:color w:val="000000"/>
                <w:spacing w:val="1"/>
                <w:shd w:val="clear" w:color="auto" w:fill="FFFFFF"/>
              </w:rPr>
              <w:t>Коментарі щодо присвоєння відповідного балу</w:t>
            </w:r>
          </w:p>
        </w:tc>
      </w:tr>
      <w:tr w:rsidR="00D848CB">
        <w:trPr>
          <w:trHeight w:val="743"/>
        </w:trPr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48CB" w:rsidRDefault="00D848CB">
            <w:pPr>
              <w:widowControl w:val="0"/>
              <w:ind w:right="57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1.</w:t>
            </w:r>
          </w:p>
          <w:p w:rsidR="00D848CB" w:rsidRDefault="00D848CB">
            <w:pPr>
              <w:jc w:val="both"/>
            </w:pPr>
            <w:r>
              <w:rPr>
                <w:rStyle w:val="Emphasis"/>
                <w:i w:val="0"/>
                <w:iCs/>
                <w:color w:val="000000"/>
              </w:rPr>
              <w:t>Залишення існуючої на даний момент ситуації без змін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</w:rPr>
              <w:t>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pacing w:val="1"/>
                <w:shd w:val="clear" w:color="auto" w:fill="FFFFFF"/>
              </w:rPr>
              <w:t>Проблема продовжує існувати</w:t>
            </w:r>
          </w:p>
        </w:tc>
      </w:tr>
      <w:tr w:rsidR="00D848CB">
        <w:trPr>
          <w:trHeight w:val="1218"/>
        </w:trPr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2.</w:t>
            </w:r>
          </w:p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</w:rPr>
              <w:t>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</w:pPr>
            <w:r>
              <w:rPr>
                <w:color w:val="000000"/>
                <w:spacing w:val="1"/>
                <w:shd w:val="clear" w:color="auto" w:fill="FFFFFF"/>
              </w:rPr>
              <w:t>Альтернатива є не прийнятною, оскільки питання регулювання тимчасового користування елементами благоустрою комунального майна є прерогативою органу місцевого самоврядування</w:t>
            </w:r>
          </w:p>
        </w:tc>
      </w:tr>
      <w:tr w:rsidR="00D848CB">
        <w:trPr>
          <w:trHeight w:val="830"/>
        </w:trPr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3.</w:t>
            </w:r>
          </w:p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pacing w:val="1"/>
              </w:rPr>
              <w:t>Цілі прийняття регуляторного акту будуть досягнуті повною мірою</w:t>
            </w:r>
          </w:p>
        </w:tc>
      </w:tr>
      <w:tr w:rsidR="00D848CB">
        <w:trPr>
          <w:trHeight w:val="749"/>
        </w:trPr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</w:p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lang w:eastAsia="ru-RU"/>
              </w:rPr>
              <w:t xml:space="preserve">Заборона тимчасового користування елементами благоустрою при розміщенні </w:t>
            </w:r>
            <w:r>
              <w:rPr>
                <w:color w:val="000000"/>
                <w:lang w:eastAsia="uk-UA"/>
              </w:rPr>
              <w:t xml:space="preserve">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</w:rPr>
              <w:t>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pacing w:val="1"/>
              </w:rPr>
              <w:t>Не сприяє розвитку бізнес-середовища, ризик існування соціальної напруги</w:t>
            </w:r>
          </w:p>
        </w:tc>
      </w:tr>
    </w:tbl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/>
      </w:tblPr>
      <w:tblGrid>
        <w:gridCol w:w="2126"/>
        <w:gridCol w:w="2821"/>
        <w:gridCol w:w="1796"/>
        <w:gridCol w:w="3008"/>
      </w:tblGrid>
      <w:tr w:rsidR="00D848CB">
        <w:trPr>
          <w:trHeight w:val="453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b/>
                <w:color w:val="000000"/>
                <w:lang w:eastAsia="ru-RU"/>
              </w:rPr>
              <w:t>Рейтинг результативності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b/>
                <w:color w:val="000000"/>
                <w:lang w:eastAsia="ru-RU"/>
              </w:rPr>
              <w:t>Вигоди (підсумок)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b/>
                <w:color w:val="000000"/>
                <w:lang w:eastAsia="ru-RU"/>
              </w:rPr>
              <w:t>Витрати (підсумок)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center"/>
            </w:pPr>
            <w:r>
              <w:rPr>
                <w:b/>
                <w:color w:val="000000"/>
                <w:lang w:eastAsia="ru-RU"/>
              </w:rPr>
              <w:t>Обґрунтування відповідного місця альтернативи у рейтингу</w:t>
            </w:r>
          </w:p>
        </w:tc>
      </w:tr>
      <w:tr w:rsidR="00D848CB">
        <w:trPr>
          <w:trHeight w:val="320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3.</w:t>
            </w:r>
          </w:p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shd w:val="clear" w:color="auto" w:fill="FFFFFF"/>
              <w:ind w:left="28" w:right="28"/>
              <w:jc w:val="both"/>
            </w:pPr>
            <w:r>
              <w:rPr>
                <w:color w:val="000000"/>
                <w:lang w:eastAsia="ru-RU"/>
              </w:rPr>
              <w:t>- сприяння розвитку підприємництва у громаді та інфраструктури;</w:t>
            </w:r>
          </w:p>
          <w:p w:rsidR="00D848CB" w:rsidRDefault="00D848CB">
            <w:pPr>
              <w:shd w:val="clear" w:color="auto" w:fill="FFFFFF"/>
              <w:ind w:left="28" w:right="28"/>
              <w:jc w:val="both"/>
            </w:pPr>
            <w:r>
              <w:rPr>
                <w:color w:val="000000"/>
                <w:lang w:eastAsia="ru-RU"/>
              </w:rPr>
              <w:t>- створення нових робочих місць;</w:t>
            </w:r>
          </w:p>
          <w:p w:rsidR="00D848CB" w:rsidRDefault="00D848CB">
            <w:pPr>
              <w:shd w:val="clear" w:color="auto" w:fill="FFFFFF"/>
              <w:ind w:left="28" w:right="28"/>
              <w:jc w:val="both"/>
            </w:pPr>
            <w:r>
              <w:rPr>
                <w:color w:val="000000"/>
                <w:lang w:eastAsia="ru-RU"/>
              </w:rPr>
              <w:t>- належна організація благоустрою;</w:t>
            </w:r>
          </w:p>
          <w:p w:rsidR="00D848CB" w:rsidRDefault="00D848CB">
            <w:pPr>
              <w:shd w:val="clear" w:color="auto" w:fill="FFFFFF"/>
              <w:ind w:left="28" w:right="28"/>
              <w:jc w:val="both"/>
            </w:pPr>
            <w:r>
              <w:rPr>
                <w:color w:val="000000"/>
                <w:lang w:eastAsia="ru-RU"/>
              </w:rPr>
              <w:t>- щорічне поповнення міського бюджету на 150 тис.грн.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bCs/>
                <w:color w:val="000000"/>
                <w:lang w:eastAsia="ru-RU"/>
              </w:rPr>
              <w:t xml:space="preserve">Сума можливих витрат залежить від кількості укладених договорів. В разі укладання договорів по всім суб’єктам, які підпадають під дію акту. 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</w:rPr>
              <w:t xml:space="preserve">Цей альтернативний спосіб є більш придатним для вирішення проблеми, тому що   при його прийняті  буде вирішено питання ефективного використання комунального майна (окремих елементів благоустрою) та додаткового наповнення міського бюджету, а також  встановлена чітка і прозора процедура визначення оплати за тимчасове користування об’єктами благоустрою, на яких розміщені </w:t>
            </w:r>
            <w:r>
              <w:rPr>
                <w:color w:val="000000"/>
                <w:lang w:eastAsia="uk-UA"/>
              </w:rPr>
              <w:t xml:space="preserve">тимчасові споруди, малі архітектурні форми та </w:t>
            </w:r>
            <w:r>
              <w:rPr>
                <w:color w:val="000000"/>
                <w:shd w:val="clear" w:color="auto" w:fill="FFFFFF"/>
              </w:rPr>
              <w:t>інші майданчики, атракціони, лунапарки, пересувні цирки</w:t>
            </w:r>
            <w:r>
              <w:rPr>
                <w:color w:val="000000"/>
                <w:lang w:eastAsia="uk-UA"/>
              </w:rPr>
              <w:t>.</w:t>
            </w:r>
          </w:p>
        </w:tc>
      </w:tr>
      <w:tr w:rsidR="00D848CB">
        <w:trPr>
          <w:trHeight w:val="1146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1.</w:t>
            </w:r>
          </w:p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shd w:val="clear" w:color="auto" w:fill="FFFFFF"/>
              </w:rPr>
              <w:t>Залишення існуючої на даний момент ситуації без змін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17" w:right="28"/>
            </w:pPr>
            <w:r>
              <w:rPr>
                <w:color w:val="000000"/>
                <w:lang w:eastAsia="ru-RU"/>
              </w:rPr>
              <w:t>Вигоди для підприємців, бо  залишається можливість уникнути  від сплати за тимчасове користування елементами благоустрою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Витрати бюджету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Цілі прийняття регуляторного акту не будуть досягнуті</w:t>
            </w:r>
          </w:p>
        </w:tc>
      </w:tr>
      <w:tr w:rsidR="00D848CB">
        <w:trPr>
          <w:trHeight w:val="140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widowControl w:val="0"/>
              <w:ind w:left="28" w:right="28"/>
              <w:jc w:val="both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</w:p>
          <w:p w:rsidR="00D848CB" w:rsidRDefault="00D848CB" w:rsidP="00833EE4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 xml:space="preserve">Заборона тимчасового користування елементами благоустрою при розміщенні </w:t>
            </w:r>
            <w:r>
              <w:rPr>
                <w:color w:val="000000"/>
                <w:lang w:eastAsia="uk-UA"/>
              </w:rPr>
              <w:t>тимчасових споруд, малих архітектурних форм та інших майданчиків.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Втрати бізнесу від неможливості розвитку та розширення підприємни-цької діяльності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Обмежує розвиток підприємництва, не сприяє створенню нових робочих місць, не наповнюється міський бюджет.</w:t>
            </w:r>
          </w:p>
        </w:tc>
      </w:tr>
      <w:tr w:rsidR="00D848CB">
        <w:trPr>
          <w:trHeight w:val="1517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2.</w:t>
            </w:r>
          </w:p>
          <w:p w:rsidR="00D848CB" w:rsidRDefault="00D848CB">
            <w:pPr>
              <w:jc w:val="both"/>
            </w:pP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both"/>
            </w:pPr>
            <w:r>
              <w:rPr>
                <w:color w:val="000000"/>
                <w:lang w:eastAsia="ru-RU"/>
              </w:rPr>
              <w:t>Відсутні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8CB" w:rsidRDefault="00D848CB">
            <w:pPr>
              <w:jc w:val="both"/>
            </w:pPr>
            <w:r>
              <w:rPr>
                <w:color w:val="000000"/>
                <w:spacing w:val="1"/>
                <w:shd w:val="clear" w:color="auto" w:fill="FFFFFF"/>
              </w:rPr>
              <w:t>Не відповідає нормам діючого законодавства.</w:t>
            </w:r>
          </w:p>
        </w:tc>
      </w:tr>
    </w:tbl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5"/>
        <w:gridCol w:w="2971"/>
        <w:gridCol w:w="3926"/>
        <w:gridCol w:w="2917"/>
      </w:tblGrid>
      <w:tr w:rsidR="00D848CB"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28" w:right="28"/>
              <w:jc w:val="center"/>
            </w:pPr>
            <w:r>
              <w:rPr>
                <w:b/>
                <w:color w:val="000000"/>
                <w:spacing w:val="1"/>
              </w:rPr>
              <w:t>Рейтинг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28" w:right="28"/>
              <w:jc w:val="center"/>
            </w:pPr>
            <w:r>
              <w:rPr>
                <w:b/>
                <w:color w:val="000000"/>
                <w:spacing w:val="1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28" w:right="28"/>
              <w:jc w:val="center"/>
            </w:pPr>
            <w:r>
              <w:rPr>
                <w:b/>
                <w:color w:val="000000"/>
                <w:spacing w:val="1"/>
              </w:rPr>
              <w:t>Оцінка ризику зовнішніх чинників на дію запропонованого регуляторного акту</w:t>
            </w:r>
          </w:p>
        </w:tc>
      </w:tr>
      <w:tr w:rsidR="00D848CB">
        <w:trPr>
          <w:trHeight w:val="6372"/>
        </w:trPr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28" w:right="28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 xml:space="preserve">Альтернатива 3. </w:t>
            </w:r>
          </w:p>
          <w:p w:rsidR="00D848CB" w:rsidRDefault="00D848CB">
            <w:pPr>
              <w:widowControl w:val="0"/>
              <w:ind w:left="28" w:right="28"/>
              <w:jc w:val="both"/>
            </w:pPr>
            <w:r>
              <w:rPr>
                <w:color w:val="000000"/>
                <w:spacing w:val="1"/>
              </w:rPr>
              <w:t>Прийняти запропонований проєкт регуляторного акту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57" w:right="57"/>
              <w:jc w:val="both"/>
            </w:pPr>
            <w:r>
              <w:rPr>
                <w:color w:val="000000"/>
              </w:rPr>
              <w:t>Буде забезпечена чітка процедура сплати за тимчасове користування елементами благоустрою; запобігання порушень прав і законних  інтересів інших суб'єктів благоустрою громади;</w:t>
            </w:r>
          </w:p>
          <w:p w:rsidR="00D848CB" w:rsidRDefault="00D848CB">
            <w:pPr>
              <w:ind w:left="57" w:right="57"/>
              <w:jc w:val="both"/>
            </w:pPr>
            <w:r>
              <w:rPr>
                <w:color w:val="000000"/>
                <w:lang w:eastAsia="ru-RU"/>
              </w:rPr>
              <w:t>- для фізичних та юридичних осіб підприємців: стабільна робота, можливість подальшого розвитку підприємницької діяльності.</w:t>
            </w:r>
            <w:r>
              <w:rPr>
                <w:color w:val="000000"/>
              </w:rPr>
              <w:t xml:space="preserve"> Громадяни о</w:t>
            </w:r>
            <w:r>
              <w:rPr>
                <w:color w:val="000000"/>
                <w:lang w:eastAsia="ru-RU"/>
              </w:rPr>
              <w:t>тримають повноцінні якісні послуги відпочинку, особливо в літній період, з забезпеченням  санітарного порядку;</w:t>
            </w:r>
          </w:p>
          <w:p w:rsidR="00D848CB" w:rsidRDefault="00D848CB">
            <w:pPr>
              <w:shd w:val="clear" w:color="auto" w:fill="FFFFFF"/>
              <w:jc w:val="both"/>
            </w:pPr>
            <w:r>
              <w:rPr>
                <w:color w:val="000000"/>
                <w:lang w:eastAsia="ru-RU"/>
              </w:rPr>
              <w:t>- будуть створені нові робочі місця.</w:t>
            </w:r>
          </w:p>
          <w:p w:rsidR="00D848CB" w:rsidRDefault="00D848CB">
            <w:pPr>
              <w:ind w:left="57" w:right="57"/>
              <w:jc w:val="both"/>
            </w:pPr>
            <w:r>
              <w:rPr>
                <w:color w:val="000000"/>
                <w:lang w:eastAsia="ru-RU"/>
              </w:rPr>
              <w:t>До бюджету надійдуть додаткові кошти. Буде забезпечене ефективне використання комунального майна. Додаткові надходження направлятимуться на виконання соціальних програм або на поліпшення благоустрою, що сприятиме інвестиційній привабливості громади.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pacing w:val="1"/>
              </w:rPr>
              <w:t>Зміна діючого законодавства у сфері благоустрою, містобудівної діяльності, землекористування</w:t>
            </w:r>
          </w:p>
        </w:tc>
      </w:tr>
      <w:tr w:rsidR="00D848CB"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28" w:right="28"/>
              <w:jc w:val="both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1.</w:t>
            </w:r>
            <w:r>
              <w:rPr>
                <w:color w:val="000000"/>
                <w:shd w:val="clear" w:color="auto" w:fill="FFFFFF"/>
              </w:rPr>
              <w:t xml:space="preserve"> Залишення існуючої на даний момент ситуації без змін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57" w:right="57"/>
              <w:jc w:val="both"/>
            </w:pPr>
            <w:r>
              <w:rPr>
                <w:color w:val="000000"/>
                <w:spacing w:val="1"/>
                <w:shd w:val="clear" w:color="auto" w:fill="FFFFFF"/>
              </w:rPr>
              <w:t>Не сприяє розв’язанню визначеної проблеми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  <w:shd w:val="clear" w:color="auto" w:fill="FFFFFF"/>
              </w:rPr>
              <w:t>Х</w:t>
            </w:r>
          </w:p>
        </w:tc>
      </w:tr>
      <w:tr w:rsidR="00D848CB">
        <w:trPr>
          <w:gridBefore w:val="1"/>
        </w:trPr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28" w:right="28"/>
              <w:jc w:val="both"/>
            </w:pPr>
            <w:r>
              <w:rPr>
                <w:b/>
                <w:color w:val="000000"/>
                <w:lang w:eastAsia="ru-RU"/>
              </w:rPr>
              <w:t>Альтернатива 4.</w:t>
            </w:r>
          </w:p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 xml:space="preserve">Заборона тимчасового користування елементами благоустрою при розміщенні </w:t>
            </w:r>
            <w:r>
              <w:rPr>
                <w:color w:val="000000"/>
                <w:lang w:eastAsia="uk-UA"/>
              </w:rPr>
              <w:t xml:space="preserve">тимчасових споруд 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Обмежує розвиток підприємництва, не сприяє створенню нових робочих місць, не наповнюється бюджет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  <w:shd w:val="clear" w:color="auto" w:fill="FFFFFF"/>
              </w:rPr>
              <w:t>Х</w:t>
            </w:r>
          </w:p>
        </w:tc>
      </w:tr>
      <w:tr w:rsidR="00D848CB">
        <w:trPr>
          <w:gridBefore w:val="1"/>
          <w:trHeight w:val="1360"/>
        </w:trPr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28" w:right="28"/>
            </w:pPr>
            <w:r>
              <w:rPr>
                <w:b/>
                <w:color w:val="000000"/>
                <w:spacing w:val="1"/>
                <w:shd w:val="clear" w:color="auto" w:fill="FFFFFF"/>
              </w:rPr>
              <w:t>Альтернатива 2.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Використання ринкових механізмів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або нормативних актів іншого органу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ind w:left="28" w:right="28"/>
              <w:jc w:val="both"/>
            </w:pPr>
            <w:r>
              <w:rPr>
                <w:color w:val="000000"/>
                <w:lang w:eastAsia="ru-RU"/>
              </w:rPr>
              <w:t>Проблема не може бути розв’язана за допомогою ринкових механізмів, оскільки питання стосується повноважень органу місцевого самоврядування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48CB" w:rsidRDefault="00D848CB">
            <w:pPr>
              <w:widowControl w:val="0"/>
              <w:ind w:left="57" w:right="57"/>
              <w:jc w:val="center"/>
            </w:pPr>
            <w:r>
              <w:rPr>
                <w:color w:val="000000"/>
                <w:spacing w:val="1"/>
                <w:shd w:val="clear" w:color="auto" w:fill="FFFFFF"/>
              </w:rPr>
              <w:t>Х</w:t>
            </w:r>
          </w:p>
        </w:tc>
      </w:tr>
    </w:tbl>
    <w:p w:rsidR="00D848CB" w:rsidRDefault="00D848CB">
      <w:pPr>
        <w:suppressAutoHyphens w:val="0"/>
        <w:ind w:firstLine="708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ind w:firstLine="709"/>
        <w:jc w:val="both"/>
        <w:textAlignment w:val="baseline"/>
      </w:pPr>
      <w:r>
        <w:rPr>
          <w:color w:val="000000"/>
          <w:shd w:val="clear" w:color="auto" w:fill="FFFFFF"/>
        </w:rPr>
        <w:t xml:space="preserve">Оцінюючи зазначені альтернативи, перевага була віддана альтернативі 3. </w:t>
      </w:r>
    </w:p>
    <w:p w:rsidR="00D848CB" w:rsidRDefault="00D848CB">
      <w:pPr>
        <w:pStyle w:val="12"/>
        <w:shd w:val="clear" w:color="auto" w:fill="FFFFFF"/>
        <w:spacing w:before="0" w:after="0"/>
        <w:ind w:firstLine="709"/>
        <w:jc w:val="both"/>
      </w:pPr>
      <w:r>
        <w:rPr>
          <w:color w:val="000000"/>
        </w:rPr>
        <w:t xml:space="preserve">У разі прийняття запропонованого регуляторного акта рівень можливостей досягнення передбачених цілей є високим, оскільки суб’єкти господарювання зацікавлені у прозорості та відкритості процедури тимчасового користування елементами благоустрою </w:t>
      </w:r>
      <w:r>
        <w:rPr>
          <w:color w:val="000000"/>
          <w:lang w:eastAsia="ru-RU"/>
        </w:rPr>
        <w:t xml:space="preserve">при розміщенні </w:t>
      </w:r>
      <w:r>
        <w:rPr>
          <w:color w:val="000000"/>
        </w:rPr>
        <w:t xml:space="preserve">тимчасових споруд, малих архітектурних форм та </w:t>
      </w:r>
      <w:r w:rsidRPr="00325B60">
        <w:rPr>
          <w:color w:val="000000"/>
          <w:shd w:val="clear" w:color="auto" w:fill="FFFFFF"/>
        </w:rPr>
        <w:t>інших майданчиків, атракціонів, лунапарків, пересувних цирків</w:t>
      </w:r>
      <w:r>
        <w:rPr>
          <w:color w:val="000000"/>
          <w:lang w:eastAsia="ru-RU"/>
        </w:rPr>
        <w:t xml:space="preserve"> для провадження своєї підприємницької діяльності. </w:t>
      </w:r>
      <w:r>
        <w:rPr>
          <w:color w:val="000000"/>
        </w:rPr>
        <w:t xml:space="preserve">Цей регуляторний акт мотивує юридичних осіб та фізичних осіб-підприємців надавати якісні своєчасні послуги мешканцям громади, тим самим конкурувати між собою та розширювати свій бізнес, створюючи нові робочі місця в громаді. </w:t>
      </w:r>
    </w:p>
    <w:p w:rsidR="00D848CB" w:rsidRDefault="00D848CB">
      <w:pPr>
        <w:pStyle w:val="12"/>
        <w:shd w:val="clear" w:color="auto" w:fill="FFFFFF"/>
        <w:spacing w:before="0" w:after="0"/>
        <w:ind w:firstLine="709"/>
        <w:jc w:val="both"/>
      </w:pPr>
      <w:r>
        <w:rPr>
          <w:color w:val="000000"/>
        </w:rPr>
        <w:t>Вплив зовнішніх факторів виключений, за винятком військових дій на території України та випадку змін законодавства України у сфері регулювання цього питання.</w:t>
      </w:r>
    </w:p>
    <w:p w:rsidR="00D848CB" w:rsidRDefault="00D848CB">
      <w:pPr>
        <w:shd w:val="clear" w:color="auto" w:fill="FFFFFF"/>
        <w:ind w:firstLine="720"/>
        <w:jc w:val="both"/>
      </w:pPr>
      <w:r>
        <w:rPr>
          <w:color w:val="000000"/>
        </w:rPr>
        <w:t>Впровадження та виконання вимог запропонованого проєкту регуляторного акта відповідає тим ресурсам, якими розпоряджаються органи місцевого самоврядування, а також ресурсам суб’єктів господарювання, на яких розповсюджується дія запропонованого проєкту регуляторного акта.</w:t>
      </w:r>
    </w:p>
    <w:p w:rsidR="00D848CB" w:rsidRDefault="00D848CB">
      <w:pPr>
        <w:shd w:val="clear" w:color="auto" w:fill="FFFFFF"/>
        <w:ind w:firstLine="720"/>
        <w:jc w:val="both"/>
        <w:rPr>
          <w:color w:val="000000"/>
        </w:rPr>
      </w:pPr>
    </w:p>
    <w:p w:rsidR="00D848CB" w:rsidRDefault="00D848CB">
      <w:pPr>
        <w:suppressAutoHyphens w:val="0"/>
        <w:ind w:firstLine="709"/>
        <w:jc w:val="both"/>
      </w:pPr>
      <w:r>
        <w:rPr>
          <w:b/>
          <w:bCs/>
          <w:color w:val="000000"/>
          <w:lang w:eastAsia="uk-UA"/>
        </w:rPr>
        <w:t>V. Механізми та заходи, які забезпечать розв’язання визначеної проблеми.</w:t>
      </w:r>
    </w:p>
    <w:p w:rsidR="00D848CB" w:rsidRDefault="00D848CB">
      <w:pPr>
        <w:ind w:firstLine="708"/>
        <w:jc w:val="both"/>
      </w:pPr>
      <w:r>
        <w:rPr>
          <w:color w:val="000000"/>
          <w:lang w:eastAsia="ru-RU"/>
        </w:rPr>
        <w:t>Для розв’язання визначеної проблеми  пропонується:</w:t>
      </w:r>
    </w:p>
    <w:p w:rsidR="00D848CB" w:rsidRDefault="00D848CB">
      <w:pPr>
        <w:ind w:firstLine="708"/>
        <w:jc w:val="both"/>
      </w:pPr>
      <w:r>
        <w:rPr>
          <w:color w:val="000000"/>
          <w:lang w:eastAsia="ru-RU"/>
        </w:rPr>
        <w:t>-</w:t>
      </w:r>
      <w:r>
        <w:rPr>
          <w:color w:val="000000"/>
        </w:rPr>
        <w:t xml:space="preserve"> чіткий порядок та умови  надання в тимчасове користування</w:t>
      </w:r>
      <w:r>
        <w:rPr>
          <w:bCs/>
          <w:color w:val="000000"/>
        </w:rPr>
        <w:t xml:space="preserve"> окремих елементів благоустрою комунальної власності </w:t>
      </w:r>
      <w:r>
        <w:rPr>
          <w:color w:val="000000"/>
        </w:rPr>
        <w:t>на території громади суб’єктам підприємницької діяльності.</w:t>
      </w:r>
    </w:p>
    <w:p w:rsidR="00D848CB" w:rsidRDefault="00D848CB">
      <w:pPr>
        <w:ind w:firstLine="708"/>
        <w:jc w:val="both"/>
      </w:pPr>
      <w:r>
        <w:rPr>
          <w:color w:val="000000"/>
          <w:lang w:eastAsia="ru-RU"/>
        </w:rPr>
        <w:t>Для провадження цього регуляторного акту необхідно здійснити такі організаційні заходи:</w:t>
      </w:r>
    </w:p>
    <w:p w:rsidR="00D848CB" w:rsidRDefault="00D848CB">
      <w:pPr>
        <w:ind w:firstLine="708"/>
        <w:jc w:val="both"/>
      </w:pPr>
      <w:r>
        <w:rPr>
          <w:color w:val="000000"/>
          <w:lang w:eastAsia="ru-RU"/>
        </w:rPr>
        <w:t xml:space="preserve">- забезпечити інформування громадськості про рішення міської ради </w:t>
      </w:r>
      <w:r w:rsidRPr="00936740">
        <w:rPr>
          <w:b/>
          <w:color w:val="000000"/>
          <w:lang w:eastAsia="uk-UA"/>
        </w:rPr>
        <w:t>«Про затвердження</w:t>
      </w:r>
      <w:r>
        <w:rPr>
          <w:color w:val="000000"/>
          <w:lang w:eastAsia="uk-UA"/>
        </w:rPr>
        <w:t xml:space="preserve"> </w:t>
      </w:r>
      <w:r>
        <w:rPr>
          <w:b/>
          <w:color w:val="000000"/>
          <w:shd w:val="clear" w:color="auto" w:fill="FFFFFF"/>
        </w:rPr>
        <w:t>Поряд</w:t>
      </w:r>
      <w:r w:rsidRPr="00E66DEF">
        <w:rPr>
          <w:b/>
          <w:color w:val="000000"/>
          <w:shd w:val="clear" w:color="auto" w:fill="FFFFFF"/>
        </w:rPr>
        <w:t>к</w:t>
      </w:r>
      <w:r>
        <w:rPr>
          <w:b/>
          <w:color w:val="000000"/>
          <w:shd w:val="clear" w:color="auto" w:fill="FFFFFF"/>
        </w:rPr>
        <w:t>у</w:t>
      </w:r>
      <w:r w:rsidRPr="00E66DEF">
        <w:rPr>
          <w:b/>
          <w:color w:val="000000"/>
          <w:shd w:val="clear" w:color="auto" w:fill="FFFFFF"/>
        </w:rPr>
        <w:t xml:space="preserve"> розрахунку плати за тимчасове користування окремими елементами благоустрою комунальної власності для розміщення ТС </w:t>
      </w:r>
      <w:r>
        <w:rPr>
          <w:b/>
          <w:color w:val="000000"/>
          <w:shd w:val="clear" w:color="auto" w:fill="FFFFFF"/>
        </w:rPr>
        <w:t>, МАФів</w:t>
      </w:r>
      <w:r w:rsidRPr="00E66DEF">
        <w:rPr>
          <w:b/>
          <w:color w:val="000000"/>
          <w:shd w:val="clear" w:color="auto" w:fill="FFFFFF"/>
        </w:rPr>
        <w:t>, інших майданчиків, атракціонів, лунапарків, пересувних цирків</w:t>
      </w:r>
      <w:r>
        <w:rPr>
          <w:b/>
          <w:color w:val="000000"/>
          <w:shd w:val="clear" w:color="auto" w:fill="FFFFFF"/>
        </w:rPr>
        <w:t xml:space="preserve">, </w:t>
      </w:r>
      <w:r w:rsidRPr="00E66DEF">
        <w:rPr>
          <w:b/>
          <w:color w:val="000000"/>
          <w:shd w:val="clear" w:color="auto" w:fill="FFFFFF"/>
        </w:rPr>
        <w:t>з метою провадження п</w:t>
      </w:r>
      <w:r>
        <w:rPr>
          <w:b/>
          <w:color w:val="000000"/>
          <w:shd w:val="clear" w:color="auto" w:fill="FFFFFF"/>
        </w:rPr>
        <w:t xml:space="preserve">ідприємницької діяльності </w:t>
      </w:r>
      <w:r w:rsidRPr="00E66DEF">
        <w:rPr>
          <w:b/>
          <w:color w:val="000000"/>
          <w:shd w:val="clear" w:color="auto" w:fill="FFFFFF"/>
        </w:rPr>
        <w:t>на території Здолбунівської міської територіальної громади </w:t>
      </w:r>
      <w:r>
        <w:rPr>
          <w:color w:val="000000"/>
          <w:lang w:eastAsia="uk-UA"/>
        </w:rPr>
        <w:t>»</w:t>
      </w:r>
      <w:r>
        <w:rPr>
          <w:color w:val="000000"/>
        </w:rPr>
        <w:t xml:space="preserve"> шляхом оприлюднення його в засобах масової інформації </w:t>
      </w:r>
      <w:r>
        <w:rPr>
          <w:color w:val="000000"/>
          <w:lang w:eastAsia="ru-RU"/>
        </w:rPr>
        <w:t>та офіційному веб-сайті міської ради;</w:t>
      </w:r>
    </w:p>
    <w:p w:rsidR="00D848CB" w:rsidRDefault="00D848CB">
      <w:pPr>
        <w:ind w:firstLine="708"/>
        <w:jc w:val="both"/>
      </w:pPr>
      <w:r>
        <w:rPr>
          <w:color w:val="000000"/>
          <w:lang w:eastAsia="ru-RU"/>
        </w:rPr>
        <w:t>- на черговому засіданні з зацікавленими суб</w:t>
      </w:r>
      <w:r w:rsidRPr="00936740">
        <w:rPr>
          <w:color w:val="000000"/>
          <w:lang w:val="ru-RU" w:eastAsia="ru-RU"/>
        </w:rPr>
        <w:t>’</w:t>
      </w:r>
      <w:r>
        <w:rPr>
          <w:color w:val="000000"/>
          <w:lang w:eastAsia="ru-RU"/>
        </w:rPr>
        <w:t>єктами господарювання провести роз’яснювальну роботу про його основні  положення;</w:t>
      </w:r>
    </w:p>
    <w:p w:rsidR="00D848CB" w:rsidRDefault="00D848CB">
      <w:pPr>
        <w:ind w:firstLine="708"/>
        <w:jc w:val="both"/>
      </w:pPr>
      <w:r>
        <w:rPr>
          <w:color w:val="000000"/>
          <w:lang w:eastAsia="ru-RU"/>
        </w:rPr>
        <w:t xml:space="preserve">- на  офіційному сайті міської ради висвітлити роз’яснювальний матеріал для підприємців-власників </w:t>
      </w:r>
      <w:r>
        <w:rPr>
          <w:color w:val="000000"/>
          <w:lang w:eastAsia="uk-UA"/>
        </w:rPr>
        <w:t xml:space="preserve">тимчасових споруд, малих архітектурних форм та </w:t>
      </w:r>
      <w:r w:rsidRPr="00325B60">
        <w:rPr>
          <w:color w:val="000000"/>
          <w:shd w:val="clear" w:color="auto" w:fill="FFFFFF"/>
        </w:rPr>
        <w:t>інших майданчиків, атракціонів, луна</w:t>
      </w:r>
      <w:r>
        <w:rPr>
          <w:color w:val="000000"/>
          <w:shd w:val="clear" w:color="auto" w:fill="FFFFFF"/>
        </w:rPr>
        <w:t>-</w:t>
      </w:r>
      <w:r w:rsidRPr="00325B60">
        <w:rPr>
          <w:color w:val="000000"/>
          <w:shd w:val="clear" w:color="auto" w:fill="FFFFFF"/>
        </w:rPr>
        <w:t>парків, пересувних цирків</w:t>
      </w:r>
      <w:r>
        <w:rPr>
          <w:color w:val="000000"/>
          <w:lang w:eastAsia="ru-RU"/>
        </w:rPr>
        <w:t>;</w:t>
      </w:r>
    </w:p>
    <w:p w:rsidR="00D848CB" w:rsidRDefault="00D848CB">
      <w:pPr>
        <w:ind w:firstLine="720"/>
        <w:jc w:val="both"/>
      </w:pPr>
      <w:r>
        <w:rPr>
          <w:color w:val="000000"/>
        </w:rPr>
        <w:t xml:space="preserve">Даним регуляторним актом </w:t>
      </w:r>
      <w:r w:rsidRPr="00391CC4">
        <w:rPr>
          <w:color w:val="000000"/>
        </w:rPr>
        <w:t>буде врегульовано</w:t>
      </w:r>
      <w:r>
        <w:rPr>
          <w:color w:val="000000"/>
        </w:rPr>
        <w:t xml:space="preserve"> порядок та умови надання в тимчасове користування</w:t>
      </w:r>
      <w:r>
        <w:rPr>
          <w:bCs/>
          <w:color w:val="000000"/>
        </w:rPr>
        <w:t xml:space="preserve"> окремих елементів благоустрою комунальної власності </w:t>
      </w:r>
      <w:r>
        <w:rPr>
          <w:color w:val="000000"/>
        </w:rPr>
        <w:t>на території громади суб’єктам підприємницької діяльності; забезпечується ефективне використання майна комунальної власності, що дає можливість збільшити надходження до міського бюджету.</w:t>
      </w:r>
    </w:p>
    <w:p w:rsidR="00D848CB" w:rsidRDefault="00D848CB">
      <w:pPr>
        <w:ind w:firstLine="708"/>
        <w:jc w:val="both"/>
      </w:pPr>
      <w:r>
        <w:rPr>
          <w:b/>
          <w:bCs/>
          <w:color w:val="000000"/>
          <w:lang w:eastAsia="ru-RU"/>
        </w:rPr>
        <w:t>Заходи, які необхідно здійснити суб’єктам господарювання:</w:t>
      </w:r>
    </w:p>
    <w:p w:rsidR="00D848CB" w:rsidRDefault="00D848CB">
      <w:pPr>
        <w:ind w:firstLine="709"/>
        <w:jc w:val="both"/>
      </w:pPr>
      <w:r>
        <w:rPr>
          <w:color w:val="000000"/>
          <w:lang w:eastAsia="ru-RU"/>
        </w:rPr>
        <w:t>- провести навчання відповідального персоналу щодо виконання вимог регулювання (підготовка, надання пакету документів, своєчасна оплата по договору);</w:t>
      </w:r>
    </w:p>
    <w:p w:rsidR="00D848CB" w:rsidRDefault="00D848CB">
      <w:pPr>
        <w:ind w:firstLine="709"/>
        <w:jc w:val="both"/>
      </w:pPr>
      <w:r>
        <w:rPr>
          <w:color w:val="000000"/>
          <w:lang w:eastAsia="ru-RU"/>
        </w:rPr>
        <w:t>- передбачити в планах необхідні матеріальні та фінансові ресурси, в залежності від потреб суб’єкта господарювання на виконання вимог регулювання.</w:t>
      </w:r>
    </w:p>
    <w:p w:rsidR="00D848CB" w:rsidRDefault="00D848CB">
      <w:pPr>
        <w:suppressAutoHyphens w:val="0"/>
        <w:ind w:firstLine="709"/>
        <w:jc w:val="both"/>
        <w:rPr>
          <w:b/>
          <w:bCs/>
          <w:color w:val="000000"/>
          <w:lang w:eastAsia="uk-UA"/>
        </w:rPr>
      </w:pPr>
    </w:p>
    <w:p w:rsidR="00D848CB" w:rsidRDefault="00D848CB">
      <w:pPr>
        <w:jc w:val="center"/>
        <w:textAlignment w:val="baseline"/>
      </w:pPr>
      <w:r>
        <w:rPr>
          <w:b/>
          <w:bCs/>
          <w:color w:val="000000"/>
        </w:rPr>
        <w:t>VI. Оцінка виконання вимог регуляторного акту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bookmarkStart w:id="1" w:name="n164"/>
      <w:bookmarkEnd w:id="1"/>
    </w:p>
    <w:p w:rsidR="00D848CB" w:rsidRDefault="00D848CB">
      <w:pPr>
        <w:ind w:firstLine="709"/>
        <w:jc w:val="both"/>
        <w:textAlignment w:val="baseline"/>
      </w:pPr>
      <w:r>
        <w:rPr>
          <w:color w:val="000000"/>
          <w:lang w:eastAsia="ru-RU"/>
        </w:rPr>
        <w:t>Прийняття цього регуляторного акта забезпечить достатні умови для реалізації прав та виконання обов’язків суб'єктами у сфері  благоустрою громади. На дію регуляторного акта можуть вплинути зміни вимог чинного законодавства у сфері благоустрою, містобудівної діяльності, землекористування.</w:t>
      </w:r>
    </w:p>
    <w:p w:rsidR="00D848CB" w:rsidRDefault="00D848CB">
      <w:pPr>
        <w:ind w:firstLine="709"/>
        <w:jc w:val="both"/>
        <w:textAlignment w:val="baseline"/>
      </w:pPr>
      <w:r>
        <w:rPr>
          <w:color w:val="000000"/>
        </w:rPr>
        <w:t>Можливість досягнення визначених цілей регуляторного акта забезпечується у разі виконання суб’єктами господарювання, посадовими особами місцевого самоврядування та місцевих дозвільних органів вимог Порядку запропонованого проєкту регуляторного акта.</w:t>
      </w:r>
    </w:p>
    <w:p w:rsidR="00D848CB" w:rsidRDefault="00D848CB">
      <w:pPr>
        <w:ind w:firstLine="709"/>
        <w:jc w:val="both"/>
        <w:textAlignment w:val="baseline"/>
      </w:pPr>
      <w:r>
        <w:rPr>
          <w:color w:val="000000"/>
        </w:rPr>
        <w:t xml:space="preserve">У разі затвердження цього Порядку для суб’єктів господарювання буде визначена процедура оплати за тимчасове користування елементами благоустрою для розміщення </w:t>
      </w:r>
      <w:r>
        <w:rPr>
          <w:color w:val="000000"/>
          <w:lang w:eastAsia="uk-UA"/>
        </w:rPr>
        <w:t xml:space="preserve">тимчасових споруд, малих архітектурних форм, та </w:t>
      </w:r>
      <w:r w:rsidRPr="00325B60">
        <w:rPr>
          <w:color w:val="000000"/>
          <w:shd w:val="clear" w:color="auto" w:fill="FFFFFF"/>
        </w:rPr>
        <w:t>інших майданчиків, атракціонів, луна</w:t>
      </w:r>
      <w:r>
        <w:rPr>
          <w:color w:val="000000"/>
          <w:shd w:val="clear" w:color="auto" w:fill="FFFFFF"/>
        </w:rPr>
        <w:t>-</w:t>
      </w:r>
      <w:r w:rsidRPr="00325B60">
        <w:rPr>
          <w:color w:val="000000"/>
          <w:shd w:val="clear" w:color="auto" w:fill="FFFFFF"/>
        </w:rPr>
        <w:t>парків, пересувних цирків</w:t>
      </w:r>
      <w:r>
        <w:rPr>
          <w:color w:val="000000"/>
        </w:rPr>
        <w:t>.</w:t>
      </w:r>
    </w:p>
    <w:p w:rsidR="00D848CB" w:rsidRDefault="00D848CB">
      <w:pPr>
        <w:suppressAutoHyphens w:val="0"/>
        <w:ind w:firstLine="709"/>
        <w:jc w:val="both"/>
      </w:pPr>
      <w:r>
        <w:rPr>
          <w:color w:val="000000"/>
          <w:lang w:eastAsia="uk-UA"/>
        </w:rPr>
        <w:t xml:space="preserve">Запропонований проєкт рішення не потребує додаткових фінансових витрат з місцевого бюджету. </w:t>
      </w:r>
    </w:p>
    <w:p w:rsidR="00D848CB" w:rsidRDefault="00D848CB">
      <w:pPr>
        <w:ind w:firstLine="709"/>
        <w:jc w:val="both"/>
        <w:textAlignment w:val="baseline"/>
      </w:pPr>
      <w:r>
        <w:rPr>
          <w:color w:val="000000"/>
        </w:rPr>
        <w:t>Впровадження вимог регуляторного акта не потребує створення нового структурного підрозділу виконавчого комітету. Підготовка договорів, сплата за ними покладається на  КП «Здолбунівське».</w:t>
      </w:r>
    </w:p>
    <w:p w:rsidR="00D848CB" w:rsidRDefault="00D848CB">
      <w:pPr>
        <w:ind w:firstLine="709"/>
        <w:jc w:val="both"/>
        <w:textAlignment w:val="baseline"/>
      </w:pPr>
      <w:r>
        <w:rPr>
          <w:color w:val="000000"/>
        </w:rPr>
        <w:t>Територіальна громада отримає додаткові нові робочі місця в громаді, покращення екологічного стану, розміщення тимчасових об’єктів у зручних для використання місцях, покращення соціального забезпечення населення.</w:t>
      </w:r>
    </w:p>
    <w:p w:rsidR="00D848CB" w:rsidRDefault="00D848CB">
      <w:pPr>
        <w:suppressAutoHyphens w:val="0"/>
        <w:ind w:firstLine="709"/>
        <w:jc w:val="both"/>
      </w:pPr>
      <w:r>
        <w:rPr>
          <w:color w:val="000000"/>
          <w:lang w:eastAsia="uk-UA"/>
        </w:rPr>
        <w:t>Найбільш значний вплив зовнішніх факторів на дію вищезазначеного акта можливий при виникненні змін у чинному законодавстві. В цьому випадку може мати місце невідповідність положень регуляторного акта нормам, що встановлюються нормативно-правовими актами вищої юридичної сили. Зазначена обставина негативно вплине на виконання вимог акта, проте може бути подолана шляхом внесення відповідних корегувань або змін до нього.</w:t>
      </w:r>
    </w:p>
    <w:p w:rsidR="00D848CB" w:rsidRDefault="00D848CB">
      <w:pPr>
        <w:suppressAutoHyphens w:val="0"/>
        <w:ind w:firstLine="709"/>
        <w:jc w:val="both"/>
        <w:rPr>
          <w:color w:val="000000"/>
          <w:lang w:eastAsia="uk-UA"/>
        </w:rPr>
      </w:pPr>
    </w:p>
    <w:p w:rsidR="00D848CB" w:rsidRDefault="00D848CB">
      <w:pPr>
        <w:suppressAutoHyphens w:val="0"/>
        <w:ind w:firstLine="708"/>
        <w:jc w:val="both"/>
      </w:pPr>
      <w:r>
        <w:rPr>
          <w:b/>
          <w:bCs/>
          <w:color w:val="000000"/>
          <w:lang w:eastAsia="uk-UA"/>
        </w:rPr>
        <w:t>VІІ</w:t>
      </w:r>
      <w:r>
        <w:rPr>
          <w:color w:val="000000"/>
          <w:lang w:eastAsia="uk-UA"/>
        </w:rPr>
        <w:t xml:space="preserve">. </w:t>
      </w:r>
      <w:r>
        <w:rPr>
          <w:b/>
          <w:bCs/>
          <w:color w:val="000000"/>
          <w:lang w:eastAsia="uk-UA"/>
        </w:rPr>
        <w:t>Обґрунтування запропонованого строку дії регуляторного</w:t>
      </w:r>
      <w:r>
        <w:rPr>
          <w:color w:val="000000"/>
          <w:lang w:eastAsia="uk-UA"/>
        </w:rPr>
        <w:t xml:space="preserve"> </w:t>
      </w:r>
      <w:r>
        <w:rPr>
          <w:b/>
          <w:bCs/>
          <w:color w:val="000000"/>
          <w:lang w:eastAsia="uk-UA"/>
        </w:rPr>
        <w:t>акта.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 xml:space="preserve">Строк дії цього регуляторного акта встановлюється на необмежений термін, оскільки відносини щодо розміщення тимчасових споруд, малих архітектурних форм та </w:t>
      </w:r>
      <w:r w:rsidRPr="00325B60">
        <w:rPr>
          <w:color w:val="000000"/>
          <w:shd w:val="clear" w:color="auto" w:fill="FFFFFF"/>
        </w:rPr>
        <w:t>інших майданчиків, атракціонів, луна</w:t>
      </w:r>
      <w:r>
        <w:rPr>
          <w:color w:val="000000"/>
          <w:shd w:val="clear" w:color="auto" w:fill="FFFFFF"/>
        </w:rPr>
        <w:t>-</w:t>
      </w:r>
      <w:r w:rsidRPr="00325B60">
        <w:rPr>
          <w:color w:val="000000"/>
          <w:shd w:val="clear" w:color="auto" w:fill="FFFFFF"/>
        </w:rPr>
        <w:t>парків, пересувних цирків</w:t>
      </w:r>
      <w:r>
        <w:rPr>
          <w:color w:val="000000"/>
          <w:lang w:eastAsia="uk-UA"/>
        </w:rPr>
        <w:t xml:space="preserve"> на території громади для провадження підприємницької діяльності та тимчасового користування  елементами благоустрою  мають перманентний характер.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>У разі внесення змін до чинного законодавства України, до даного регуляторного акта також будуть вноситись відповідні зміни згідно з регуляторною процедурою. Також існує можливість його відміни.</w:t>
      </w:r>
    </w:p>
    <w:p w:rsidR="00D848CB" w:rsidRDefault="00D848CB">
      <w:pPr>
        <w:suppressAutoHyphens w:val="0"/>
      </w:pPr>
      <w:r>
        <w:rPr>
          <w:i/>
          <w:iCs/>
          <w:color w:val="000000"/>
          <w:lang w:eastAsia="uk-UA"/>
        </w:rPr>
        <w:t> </w:t>
      </w:r>
    </w:p>
    <w:p w:rsidR="00D848CB" w:rsidRDefault="00D848CB">
      <w:pPr>
        <w:suppressAutoHyphens w:val="0"/>
        <w:ind w:firstLine="708"/>
        <w:jc w:val="both"/>
      </w:pPr>
      <w:r>
        <w:rPr>
          <w:b/>
          <w:bCs/>
          <w:color w:val="000000"/>
          <w:lang w:eastAsia="uk-UA"/>
        </w:rPr>
        <w:t>VІІІ. Визначення показників результативності дії регуляторного акта.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 xml:space="preserve">З метою відстеження результативності цього регуляторного акту визначено наступні показники результативності: 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 xml:space="preserve">1. Кількість звернень суб’єктів підприємництва щодо розміщення тимчасових споруд , малих архітектурних форм та </w:t>
      </w:r>
      <w:r w:rsidRPr="00325B60">
        <w:rPr>
          <w:color w:val="000000"/>
          <w:shd w:val="clear" w:color="auto" w:fill="FFFFFF"/>
        </w:rPr>
        <w:t>інших майданчиків, атракціонів, луна</w:t>
      </w:r>
      <w:r>
        <w:rPr>
          <w:color w:val="000000"/>
          <w:shd w:val="clear" w:color="auto" w:fill="FFFFFF"/>
        </w:rPr>
        <w:t>-</w:t>
      </w:r>
      <w:r w:rsidRPr="00325B60">
        <w:rPr>
          <w:color w:val="000000"/>
          <w:shd w:val="clear" w:color="auto" w:fill="FFFFFF"/>
        </w:rPr>
        <w:t>парків, пересувних цирків</w:t>
      </w:r>
      <w:r>
        <w:rPr>
          <w:color w:val="000000"/>
          <w:lang w:eastAsia="uk-UA"/>
        </w:rPr>
        <w:t xml:space="preserve"> на території громади для провадження підприємницької діяльності (очікується близько 53 на найближчі роки).</w:t>
      </w:r>
    </w:p>
    <w:p w:rsidR="00D848CB" w:rsidRDefault="00D848CB">
      <w:pPr>
        <w:jc w:val="both"/>
      </w:pPr>
      <w:r>
        <w:rPr>
          <w:color w:val="000000"/>
          <w:lang w:eastAsia="uk-UA"/>
        </w:rPr>
        <w:t xml:space="preserve">          2. Кількість прийнятих рішень виконкому щодо розміщення  тимчасових споруд, малих архітектурних форм та </w:t>
      </w:r>
      <w:r w:rsidRPr="00325B60">
        <w:rPr>
          <w:color w:val="000000"/>
          <w:shd w:val="clear" w:color="auto" w:fill="FFFFFF"/>
        </w:rPr>
        <w:t>інших майданчиків, атракціонів, луна</w:t>
      </w:r>
      <w:r>
        <w:rPr>
          <w:color w:val="000000"/>
          <w:shd w:val="clear" w:color="auto" w:fill="FFFFFF"/>
        </w:rPr>
        <w:t>-</w:t>
      </w:r>
      <w:r w:rsidRPr="00325B60">
        <w:rPr>
          <w:color w:val="000000"/>
          <w:shd w:val="clear" w:color="auto" w:fill="FFFFFF"/>
        </w:rPr>
        <w:t>парків, пересувних цирків</w:t>
      </w:r>
      <w:r>
        <w:rPr>
          <w:color w:val="000000"/>
          <w:lang w:eastAsia="uk-UA"/>
        </w:rPr>
        <w:t xml:space="preserve"> на </w:t>
      </w:r>
      <w:r>
        <w:rPr>
          <w:color w:val="000000"/>
        </w:rPr>
        <w:t xml:space="preserve">території об’єктів благоустрою  громади </w:t>
      </w:r>
      <w:r>
        <w:rPr>
          <w:color w:val="000000"/>
          <w:lang w:eastAsia="uk-UA"/>
        </w:rPr>
        <w:t>(очікується близько 53).</w:t>
      </w:r>
    </w:p>
    <w:p w:rsidR="00D848CB" w:rsidRPr="00412530" w:rsidRDefault="00D848CB">
      <w:pPr>
        <w:pStyle w:val="20"/>
        <w:ind w:left="0" w:right="-1" w:firstLine="708"/>
        <w:jc w:val="both"/>
        <w:rPr>
          <w:sz w:val="24"/>
          <w:lang w:val="uk-UA"/>
        </w:rPr>
      </w:pPr>
      <w:r w:rsidRPr="00412530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3. Кількість укладених договорів </w:t>
      </w:r>
      <w:r w:rsidRPr="00412530">
        <w:rPr>
          <w:rFonts w:ascii="Times New Roman" w:hAnsi="Times New Roman" w:cs="Times New Roman"/>
          <w:color w:val="000000"/>
          <w:spacing w:val="-5"/>
          <w:sz w:val="24"/>
          <w:lang w:val="uk-UA"/>
        </w:rPr>
        <w:t xml:space="preserve">про надання у тимчасове користування елемента благоустрою для </w:t>
      </w:r>
      <w:r>
        <w:rPr>
          <w:rFonts w:ascii="Times New Roman" w:hAnsi="Times New Roman" w:cs="Times New Roman"/>
          <w:color w:val="000000"/>
          <w:sz w:val="24"/>
          <w:lang w:val="uk-UA" w:eastAsia="uk-UA"/>
        </w:rPr>
        <w:t>розміщення тимчасових споруд</w:t>
      </w:r>
      <w:r w:rsidRPr="00412530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, малих архітектурних форм та </w:t>
      </w:r>
      <w:r w:rsidRPr="00412530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>інших майданчиків, атракціонів, лунапарків, пересувних цирків</w:t>
      </w:r>
      <w:r w:rsidRPr="00412530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 на території громади для провадження підприємницької діяльності (очікується близько 53).</w:t>
      </w:r>
    </w:p>
    <w:p w:rsidR="00D848CB" w:rsidRDefault="00D848CB">
      <w:pPr>
        <w:suppressAutoHyphens w:val="0"/>
        <w:ind w:firstLine="708"/>
        <w:jc w:val="both"/>
      </w:pPr>
      <w:r>
        <w:rPr>
          <w:color w:val="000000"/>
          <w:lang w:eastAsia="uk-UA"/>
        </w:rPr>
        <w:t xml:space="preserve">4. Кількість скасованих рішень виконкому щодо розміщення на території громади  тимчасових споруд , малих архітектурних форм та </w:t>
      </w:r>
      <w:r w:rsidRPr="00325B60">
        <w:rPr>
          <w:color w:val="000000"/>
          <w:shd w:val="clear" w:color="auto" w:fill="FFFFFF"/>
        </w:rPr>
        <w:t>інших майданчиків, атракціонів, луна</w:t>
      </w:r>
      <w:r>
        <w:rPr>
          <w:color w:val="000000"/>
          <w:shd w:val="clear" w:color="auto" w:fill="FFFFFF"/>
        </w:rPr>
        <w:t>-</w:t>
      </w:r>
      <w:r w:rsidRPr="00325B60">
        <w:rPr>
          <w:color w:val="000000"/>
          <w:shd w:val="clear" w:color="auto" w:fill="FFFFFF"/>
        </w:rPr>
        <w:t>парків, пересувних цирків</w:t>
      </w:r>
      <w:r>
        <w:rPr>
          <w:color w:val="000000"/>
          <w:lang w:eastAsia="uk-UA"/>
        </w:rPr>
        <w:t xml:space="preserve">  із-за недотриманням умов даного регуляторного акта фізичними особами-підприємцями (не очікується).</w:t>
      </w:r>
    </w:p>
    <w:p w:rsidR="00D848CB" w:rsidRPr="00412530" w:rsidRDefault="00D848CB">
      <w:pPr>
        <w:pStyle w:val="20"/>
        <w:ind w:left="0" w:right="-1" w:firstLine="708"/>
        <w:jc w:val="both"/>
        <w:rPr>
          <w:sz w:val="24"/>
          <w:lang w:val="uk-UA"/>
        </w:rPr>
      </w:pPr>
      <w:r w:rsidRPr="00412530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5. Сума коштів, отриманих міським бюджетом в результаті виконання договорів </w:t>
      </w:r>
      <w:r w:rsidRPr="00412530">
        <w:rPr>
          <w:rFonts w:ascii="Times New Roman" w:hAnsi="Times New Roman" w:cs="Times New Roman"/>
          <w:color w:val="000000"/>
          <w:spacing w:val="-5"/>
          <w:sz w:val="24"/>
          <w:lang w:val="uk-UA"/>
        </w:rPr>
        <w:t xml:space="preserve">про надання у тимчасове користування елемента благоустрою для </w:t>
      </w:r>
      <w:r w:rsidRPr="00412530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розміщення тимчасових споруд , малих архітектурних форм та </w:t>
      </w:r>
      <w:r w:rsidRPr="00412530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>інших майданчиків, атракціонів, лунапарків, пересувних цирків</w:t>
      </w:r>
      <w:r w:rsidRPr="00412530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 на території громади для провадження підприємницької діяльності (близько 150 тис. грн. на рік).</w:t>
      </w:r>
    </w:p>
    <w:p w:rsidR="00D848CB" w:rsidRDefault="00D848CB">
      <w:pPr>
        <w:pStyle w:val="20"/>
        <w:ind w:left="0" w:right="-1" w:firstLine="708"/>
        <w:jc w:val="both"/>
        <w:rPr>
          <w:rFonts w:ascii="Times New Roman" w:hAnsi="Times New Roman" w:cs="Times New Roman"/>
          <w:bCs/>
          <w:color w:val="000000"/>
          <w:sz w:val="24"/>
          <w:lang w:val="uk-UA" w:eastAsia="uk-UA"/>
        </w:rPr>
      </w:pPr>
    </w:p>
    <w:tbl>
      <w:tblPr>
        <w:tblW w:w="0" w:type="auto"/>
        <w:tblInd w:w="98" w:type="dxa"/>
        <w:tblLayout w:type="fixed"/>
        <w:tblLook w:val="0000"/>
      </w:tblPr>
      <w:tblGrid>
        <w:gridCol w:w="1907"/>
        <w:gridCol w:w="4760"/>
        <w:gridCol w:w="3312"/>
      </w:tblGrid>
      <w:tr w:rsidR="00D848CB">
        <w:trPr>
          <w:trHeight w:val="86"/>
        </w:trPr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  <w:jc w:val="center"/>
            </w:pPr>
            <w:r>
              <w:rPr>
                <w:b/>
                <w:color w:val="000000"/>
              </w:rPr>
              <w:t>Сфера впливу</w:t>
            </w:r>
          </w:p>
        </w:tc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  <w:jc w:val="center"/>
            </w:pPr>
            <w:r>
              <w:rPr>
                <w:b/>
                <w:color w:val="000000"/>
              </w:rPr>
              <w:t>Вигоди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8CB" w:rsidRDefault="00D848CB">
            <w:pPr>
              <w:snapToGrid w:val="0"/>
              <w:jc w:val="center"/>
            </w:pPr>
            <w:r>
              <w:rPr>
                <w:b/>
                <w:color w:val="000000"/>
              </w:rPr>
              <w:t>Витрати</w:t>
            </w:r>
          </w:p>
        </w:tc>
      </w:tr>
      <w:tr w:rsidR="00D848CB"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</w:pPr>
            <w:r>
              <w:rPr>
                <w:color w:val="000000"/>
              </w:rPr>
              <w:t>Міська влада</w:t>
            </w:r>
          </w:p>
        </w:tc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</w:pPr>
            <w:r>
              <w:rPr>
                <w:color w:val="000000"/>
              </w:rPr>
              <w:t>Наявність механізму адміністративних відносин у питанні надання дозволу суб'єктам господарювання для  торгівлі поза магазинами.</w:t>
            </w:r>
          </w:p>
          <w:p w:rsidR="00D848CB" w:rsidRDefault="00D848CB">
            <w:pPr>
              <w:ind w:left="12" w:right="-3" w:hanging="15"/>
            </w:pPr>
            <w:r>
              <w:rPr>
                <w:color w:val="000000"/>
              </w:rPr>
              <w:t xml:space="preserve">Збільшення доходів міського бюджету від сплати </w:t>
            </w:r>
            <w:r>
              <w:rPr>
                <w:bCs/>
                <w:color w:val="000000"/>
              </w:rPr>
              <w:t xml:space="preserve">за тимчасове користування елементами благоустрою для </w:t>
            </w:r>
            <w:r>
              <w:rPr>
                <w:color w:val="000000"/>
                <w:lang w:eastAsia="uk-UA"/>
              </w:rPr>
              <w:t xml:space="preserve">розміщення тимчасових споруд,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лунапарків, пересувних цирків</w:t>
            </w:r>
            <w:r>
              <w:rPr>
                <w:color w:val="000000"/>
                <w:lang w:eastAsia="uk-UA"/>
              </w:rPr>
              <w:t xml:space="preserve"> на території громади для провадження підприємницької діяльності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8CB" w:rsidRDefault="00D848CB">
            <w:r>
              <w:rPr>
                <w:color w:val="000000"/>
              </w:rPr>
              <w:t>Час затрачений на оформлення рішень виконавчого комітету міської ради щодо надання дозвільних документів</w:t>
            </w:r>
          </w:p>
        </w:tc>
      </w:tr>
      <w:tr w:rsidR="00D848CB">
        <w:trPr>
          <w:trHeight w:val="649"/>
        </w:trPr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</w:pPr>
            <w:r>
              <w:rPr>
                <w:color w:val="000000"/>
              </w:rPr>
              <w:t>Суб’єкти господарювання</w:t>
            </w:r>
          </w:p>
        </w:tc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  <w:ind w:left="50"/>
            </w:pPr>
            <w:r>
              <w:rPr>
                <w:color w:val="000000"/>
              </w:rPr>
              <w:t>Наявність чіткого механізму  адміністративних відносин з органами міської влади з вказаних питань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8CB" w:rsidRDefault="00D848CB">
            <w:pPr>
              <w:snapToGrid w:val="0"/>
            </w:pPr>
            <w:r>
              <w:rPr>
                <w:color w:val="000000"/>
              </w:rPr>
              <w:t>Час затрачений на ознайомлення з  Порядком та  на підготовку документів;</w:t>
            </w:r>
          </w:p>
          <w:p w:rsidR="00D848CB" w:rsidRDefault="00D848CB">
            <w:pPr>
              <w:snapToGrid w:val="0"/>
            </w:pPr>
            <w:r>
              <w:rPr>
                <w:color w:val="000000"/>
              </w:rPr>
              <w:t xml:space="preserve">фінансові витрати при сплаті </w:t>
            </w:r>
            <w:r>
              <w:rPr>
                <w:bCs/>
                <w:color w:val="000000"/>
              </w:rPr>
              <w:t xml:space="preserve">за тимчасове користування елементами благоустрою для </w:t>
            </w:r>
            <w:r>
              <w:rPr>
                <w:color w:val="000000"/>
                <w:lang w:eastAsia="uk-UA"/>
              </w:rPr>
              <w:t xml:space="preserve">розміщення тимчасових споруд , малих архітектурних форм та </w:t>
            </w:r>
            <w:r w:rsidRPr="00325B60">
              <w:rPr>
                <w:color w:val="000000"/>
                <w:shd w:val="clear" w:color="auto" w:fill="FFFFFF"/>
              </w:rPr>
              <w:t>інших майданчиків, атракціонів, луна</w:t>
            </w:r>
            <w:r>
              <w:rPr>
                <w:color w:val="000000"/>
                <w:shd w:val="clear" w:color="auto" w:fill="FFFFFF"/>
              </w:rPr>
              <w:t>-</w:t>
            </w:r>
            <w:r w:rsidRPr="00325B60">
              <w:rPr>
                <w:color w:val="000000"/>
                <w:shd w:val="clear" w:color="auto" w:fill="FFFFFF"/>
              </w:rPr>
              <w:t>парків, пересувних цирків</w:t>
            </w:r>
            <w:r>
              <w:rPr>
                <w:color w:val="000000"/>
                <w:lang w:eastAsia="uk-UA"/>
              </w:rPr>
              <w:t xml:space="preserve"> на території громади для провадження підприємницької діяльності</w:t>
            </w:r>
          </w:p>
        </w:tc>
      </w:tr>
      <w:tr w:rsidR="00D848CB">
        <w:trPr>
          <w:trHeight w:val="884"/>
        </w:trPr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</w:pPr>
            <w:r>
              <w:rPr>
                <w:color w:val="000000"/>
              </w:rPr>
              <w:t>Мешканці громади</w:t>
            </w:r>
          </w:p>
        </w:tc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848CB" w:rsidRDefault="00D848CB">
            <w:pPr>
              <w:snapToGrid w:val="0"/>
              <w:ind w:left="50"/>
            </w:pPr>
            <w:r>
              <w:rPr>
                <w:color w:val="000000"/>
              </w:rPr>
              <w:t>Забезпечення мешканців громади необхідною продукцією та послугами.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8CB" w:rsidRDefault="00D848CB">
            <w:pPr>
              <w:snapToGrid w:val="0"/>
            </w:pPr>
            <w:r>
              <w:rPr>
                <w:color w:val="000000"/>
              </w:rPr>
              <w:t>Не потребує додаткових</w:t>
            </w:r>
          </w:p>
          <w:p w:rsidR="00D848CB" w:rsidRDefault="00D848CB">
            <w:r>
              <w:rPr>
                <w:color w:val="000000"/>
              </w:rPr>
              <w:t>витрат</w:t>
            </w:r>
          </w:p>
        </w:tc>
      </w:tr>
    </w:tbl>
    <w:p w:rsidR="00D848CB" w:rsidRDefault="00D848CB">
      <w:pPr>
        <w:suppressAutoHyphens w:val="0"/>
        <w:jc w:val="center"/>
      </w:pPr>
      <w:r>
        <w:rPr>
          <w:b/>
          <w:bCs/>
          <w:i/>
          <w:iCs/>
          <w:color w:val="000000"/>
          <w:lang w:eastAsia="uk-UA"/>
        </w:rPr>
        <w:t> </w:t>
      </w:r>
    </w:p>
    <w:p w:rsidR="00D848CB" w:rsidRDefault="00D848CB">
      <w:pPr>
        <w:shd w:val="clear" w:color="auto" w:fill="FFFFFF"/>
        <w:ind w:firstLine="708"/>
      </w:pPr>
      <w:r>
        <w:rPr>
          <w:b/>
          <w:bCs/>
          <w:color w:val="000000"/>
          <w:lang w:eastAsia="uk-UA"/>
        </w:rPr>
        <w:t xml:space="preserve">ІХ. </w:t>
      </w:r>
      <w:r>
        <w:rPr>
          <w:b/>
          <w:bCs/>
          <w:color w:val="000000"/>
        </w:rPr>
        <w:t>Строк дії регуляторного акта</w:t>
      </w:r>
    </w:p>
    <w:p w:rsidR="00D848CB" w:rsidRDefault="00D848CB">
      <w:pPr>
        <w:shd w:val="clear" w:color="auto" w:fill="FFFFFF"/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>Термін дії регуляторного акта безстроковий.  Перегляд або скасування можливі у разі зміни чинного законодавства.</w:t>
      </w:r>
    </w:p>
    <w:p w:rsidR="00D848CB" w:rsidRDefault="00D848CB">
      <w:pPr>
        <w:suppressAutoHyphens w:val="0"/>
        <w:jc w:val="center"/>
        <w:rPr>
          <w:b/>
          <w:bCs/>
          <w:color w:val="000000"/>
          <w:lang w:eastAsia="uk-UA"/>
        </w:rPr>
      </w:pPr>
    </w:p>
    <w:p w:rsidR="00D848CB" w:rsidRDefault="00D848CB">
      <w:pPr>
        <w:ind w:firstLine="709"/>
        <w:jc w:val="both"/>
      </w:pPr>
      <w:r>
        <w:rPr>
          <w:b/>
          <w:bCs/>
          <w:color w:val="000000"/>
          <w:lang w:eastAsia="uk-UA"/>
        </w:rPr>
        <w:t>Х. Визначення заходів, за допомогою яких  здійснюватиметься  відстеження результативності регуляторного акта.</w:t>
      </w:r>
    </w:p>
    <w:p w:rsidR="00D848CB" w:rsidRPr="00704CA2" w:rsidRDefault="00D848CB">
      <w:pPr>
        <w:ind w:firstLine="709"/>
        <w:jc w:val="both"/>
      </w:pPr>
      <w:r w:rsidRPr="00704CA2">
        <w:rPr>
          <w:shd w:val="clear" w:color="auto" w:fill="FFFFFF"/>
        </w:rPr>
        <w:t>Базове відстеження результативності регуляторного акта здійснюється до дня набрання чинності цим регуляторним актом або набрання чинності більшістю його положень. </w:t>
      </w:r>
    </w:p>
    <w:p w:rsidR="00D848CB" w:rsidRDefault="00D848CB">
      <w:pPr>
        <w:ind w:firstLine="709"/>
        <w:jc w:val="both"/>
      </w:pPr>
      <w:r>
        <w:rPr>
          <w:color w:val="000000"/>
        </w:rPr>
        <w:t>Повторне відстеження буде через рік після набрання чинності регуляторного акту.</w:t>
      </w:r>
    </w:p>
    <w:p w:rsidR="00D848CB" w:rsidRDefault="00D848CB">
      <w:pPr>
        <w:ind w:firstLine="709"/>
        <w:jc w:val="both"/>
      </w:pPr>
      <w:r>
        <w:rPr>
          <w:color w:val="000000"/>
        </w:rPr>
        <w:t>Періодичне відстеження  здійснюватиметься раз на три роки після завершення заходів із повторного відстеження.</w:t>
      </w:r>
    </w:p>
    <w:p w:rsidR="00D848CB" w:rsidRDefault="00D848CB">
      <w:pPr>
        <w:ind w:firstLine="709"/>
        <w:jc w:val="both"/>
      </w:pPr>
      <w:r>
        <w:rPr>
          <w:color w:val="000000"/>
          <w:lang w:eastAsia="ru-RU"/>
        </w:rPr>
        <w:t>Результативність даного регуляторного акту буде відстежуватись за рахунок здійснення контролю за своєчасним надходженням коштів до бюджету громади.</w:t>
      </w:r>
    </w:p>
    <w:p w:rsidR="00D848CB" w:rsidRDefault="00D848CB">
      <w:pPr>
        <w:ind w:firstLine="709"/>
        <w:jc w:val="both"/>
      </w:pPr>
      <w:r>
        <w:rPr>
          <w:color w:val="000000"/>
        </w:rPr>
        <w:t>Для відстеження результативності будуть використовуватись аналітичні дані, отриманні від фінансового управління, управління містобудування та  архітектури міської ради, відділу  комунальної власності міської ради.</w:t>
      </w:r>
      <w:r>
        <w:rPr>
          <w:color w:val="000000"/>
          <w:lang w:eastAsia="ru-RU"/>
        </w:rPr>
        <w:t xml:space="preserve"> </w:t>
      </w:r>
      <w:r>
        <w:rPr>
          <w:color w:val="000000"/>
        </w:rPr>
        <w:t>Використовуватимуться також дані опитування суб’єктів господарювання, які уклали договори на тимчасове користування</w:t>
      </w:r>
      <w:r>
        <w:rPr>
          <w:bCs/>
          <w:color w:val="000000"/>
        </w:rPr>
        <w:t xml:space="preserve"> окремих елементів благоустрою комунальної власності </w:t>
      </w:r>
      <w:r>
        <w:rPr>
          <w:color w:val="000000"/>
        </w:rPr>
        <w:t>на території громади.</w:t>
      </w:r>
    </w:p>
    <w:p w:rsidR="00D848CB" w:rsidRDefault="00D848CB">
      <w:pPr>
        <w:ind w:firstLine="709"/>
        <w:jc w:val="both"/>
      </w:pPr>
      <w:r>
        <w:rPr>
          <w:color w:val="000000"/>
          <w:lang w:eastAsia="ru-RU"/>
        </w:rPr>
        <w:t xml:space="preserve">Запропонований регуляторний акт запроваджується до прийняття нових нормативних актів, що регламентують розміщення </w:t>
      </w:r>
      <w:r>
        <w:rPr>
          <w:color w:val="000000"/>
          <w:lang w:eastAsia="uk-UA"/>
        </w:rPr>
        <w:t xml:space="preserve">тимчасових споруд , малих архітектурних форм </w:t>
      </w:r>
      <w:r w:rsidRPr="00704CA2">
        <w:rPr>
          <w:color w:val="000000"/>
          <w:lang w:eastAsia="uk-UA"/>
        </w:rPr>
        <w:t xml:space="preserve">та </w:t>
      </w:r>
      <w:r w:rsidRPr="00704CA2">
        <w:rPr>
          <w:color w:val="000000"/>
          <w:shd w:val="clear" w:color="auto" w:fill="FFFFFF"/>
        </w:rPr>
        <w:t>інших майданчиків, атракціонів, лунапарків, пересувних цирків</w:t>
      </w:r>
      <w:r w:rsidRPr="00704CA2">
        <w:rPr>
          <w:color w:val="000000"/>
          <w:lang w:eastAsia="uk-UA"/>
        </w:rPr>
        <w:t xml:space="preserve"> </w:t>
      </w:r>
      <w:r w:rsidRPr="00704CA2">
        <w:rPr>
          <w:color w:val="000000"/>
          <w:lang w:eastAsia="ru-RU"/>
        </w:rPr>
        <w:t>д</w:t>
      </w:r>
      <w:r>
        <w:rPr>
          <w:color w:val="000000"/>
          <w:lang w:eastAsia="ru-RU"/>
        </w:rPr>
        <w:t>ля впровадження підприємницької діяльності. У разі потреби вноситимуться зміни до них, у т.ч. за підсумками аналізу відстеження його результативності.</w:t>
      </w:r>
    </w:p>
    <w:p w:rsidR="00D848CB" w:rsidRPr="006B1A03" w:rsidRDefault="00D848CB" w:rsidP="00FF57BB">
      <w:pPr>
        <w:pStyle w:val="BodyText"/>
        <w:spacing w:line="235" w:lineRule="auto"/>
        <w:ind w:firstLine="709"/>
        <w:jc w:val="both"/>
        <w:rPr>
          <w:lang w:eastAsia="en-US"/>
        </w:rPr>
      </w:pPr>
      <w:r w:rsidRPr="006B1A03">
        <w:t>Відстеження результативності дії акта буде здійснюватися відповідальними за підготовку – відділом економічного розвитку</w:t>
      </w:r>
      <w:r>
        <w:t xml:space="preserve"> та регуляторної політики</w:t>
      </w:r>
      <w:r w:rsidRPr="006B1A03">
        <w:t xml:space="preserve"> </w:t>
      </w:r>
      <w:r>
        <w:t>Здолбунівської</w:t>
      </w:r>
      <w:r w:rsidRPr="006B1A03">
        <w:t xml:space="preserve"> міської ради </w:t>
      </w:r>
      <w:r>
        <w:t>.</w:t>
      </w:r>
      <w:r w:rsidRPr="006B1A03">
        <w:t xml:space="preserve"> </w:t>
      </w:r>
    </w:p>
    <w:p w:rsidR="00D848CB" w:rsidRPr="006B1A03" w:rsidRDefault="00D848CB" w:rsidP="00FF57BB">
      <w:pPr>
        <w:pStyle w:val="HTMLPreformatted"/>
        <w:spacing w:line="235" w:lineRule="auto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B1A03">
        <w:rPr>
          <w:rFonts w:ascii="Times New Roman" w:hAnsi="Times New Roman"/>
          <w:sz w:val="24"/>
          <w:szCs w:val="24"/>
          <w:lang w:val="uk-UA" w:eastAsia="en-US"/>
        </w:rPr>
        <w:t xml:space="preserve">          Аналіз регуляторного акта розроблений у відповідності до статей 4, 8 Закону України «Про засади державної регуляторної політики у сфері господарської діяльності» з урахуванням вимог Постанови Кабінету Міністрів України від 11 березня 2004 року №308 «Про затвердження методик проведення аналізу впливу та відстеження результативності регуляторного акта», зі змінами.</w:t>
      </w:r>
    </w:p>
    <w:p w:rsidR="00D848CB" w:rsidRPr="006B1A03" w:rsidRDefault="00D848CB" w:rsidP="00FF57BB">
      <w:pPr>
        <w:pStyle w:val="HTMLPreformatted"/>
        <w:spacing w:line="235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B1A03">
        <w:rPr>
          <w:rFonts w:ascii="Times New Roman" w:hAnsi="Times New Roman"/>
          <w:sz w:val="24"/>
          <w:szCs w:val="24"/>
          <w:lang w:val="uk-UA"/>
        </w:rPr>
        <w:t xml:space="preserve">         Зворотний зв’язок:</w:t>
      </w:r>
    </w:p>
    <w:p w:rsidR="00D848CB" w:rsidRPr="006B1A03" w:rsidRDefault="00D848CB" w:rsidP="00FF57BB">
      <w:pPr>
        <w:pStyle w:val="NoSpacing"/>
        <w:spacing w:line="235" w:lineRule="auto"/>
        <w:ind w:firstLine="720"/>
        <w:jc w:val="both"/>
        <w:rPr>
          <w:sz w:val="24"/>
          <w:szCs w:val="24"/>
        </w:rPr>
      </w:pPr>
      <w:r w:rsidRPr="006B1A03">
        <w:rPr>
          <w:sz w:val="24"/>
          <w:szCs w:val="24"/>
        </w:rPr>
        <w:t xml:space="preserve">- поштова адреса: вул. </w:t>
      </w:r>
      <w:r>
        <w:rPr>
          <w:sz w:val="24"/>
          <w:szCs w:val="24"/>
        </w:rPr>
        <w:t>Грушевського 14</w:t>
      </w:r>
      <w:r w:rsidRPr="006B1A03">
        <w:rPr>
          <w:sz w:val="24"/>
          <w:szCs w:val="24"/>
        </w:rPr>
        <w:t xml:space="preserve">, м. </w:t>
      </w:r>
      <w:r>
        <w:rPr>
          <w:sz w:val="24"/>
          <w:szCs w:val="24"/>
        </w:rPr>
        <w:t>Здолбунів</w:t>
      </w:r>
      <w:r w:rsidRPr="006B1A03">
        <w:rPr>
          <w:sz w:val="24"/>
          <w:szCs w:val="24"/>
        </w:rPr>
        <w:t xml:space="preserve">, </w:t>
      </w:r>
      <w:r>
        <w:rPr>
          <w:sz w:val="24"/>
          <w:szCs w:val="24"/>
        </w:rPr>
        <w:t>35705</w:t>
      </w:r>
      <w:r w:rsidRPr="006B1A03">
        <w:rPr>
          <w:sz w:val="24"/>
          <w:szCs w:val="24"/>
        </w:rPr>
        <w:t xml:space="preserve">,  </w:t>
      </w:r>
      <w:r>
        <w:rPr>
          <w:sz w:val="24"/>
          <w:szCs w:val="24"/>
        </w:rPr>
        <w:t>Іванюк Олександр Миколайович</w:t>
      </w:r>
      <w:r w:rsidRPr="006B1A03">
        <w:rPr>
          <w:sz w:val="24"/>
          <w:szCs w:val="24"/>
        </w:rPr>
        <w:t xml:space="preserve"> – начальник відділу економічного розвитку</w:t>
      </w:r>
      <w:r>
        <w:rPr>
          <w:sz w:val="24"/>
          <w:szCs w:val="24"/>
        </w:rPr>
        <w:t xml:space="preserve"> та регуляторної політики</w:t>
      </w:r>
      <w:r w:rsidRPr="006B1A03">
        <w:rPr>
          <w:sz w:val="24"/>
          <w:szCs w:val="24"/>
        </w:rPr>
        <w:t xml:space="preserve"> </w:t>
      </w:r>
      <w:r>
        <w:rPr>
          <w:sz w:val="24"/>
          <w:szCs w:val="24"/>
        </w:rPr>
        <w:t>Здолбунівської</w:t>
      </w:r>
      <w:r w:rsidRPr="006B1A03">
        <w:rPr>
          <w:sz w:val="24"/>
          <w:szCs w:val="24"/>
        </w:rPr>
        <w:t xml:space="preserve"> міської ради, каб. 2</w:t>
      </w:r>
      <w:r>
        <w:rPr>
          <w:sz w:val="24"/>
          <w:szCs w:val="24"/>
        </w:rPr>
        <w:t>02</w:t>
      </w:r>
      <w:r w:rsidRPr="006B1A03">
        <w:rPr>
          <w:sz w:val="24"/>
          <w:szCs w:val="24"/>
        </w:rPr>
        <w:t>.</w:t>
      </w:r>
      <w:r w:rsidRPr="006B1A03">
        <w:rPr>
          <w:color w:val="000000"/>
          <w:sz w:val="24"/>
          <w:szCs w:val="24"/>
        </w:rPr>
        <w:t xml:space="preserve"> </w:t>
      </w:r>
    </w:p>
    <w:p w:rsidR="00D848CB" w:rsidRPr="00412530" w:rsidRDefault="00D848CB" w:rsidP="00FF57BB">
      <w:pPr>
        <w:pStyle w:val="NoSpacing"/>
        <w:ind w:firstLine="720"/>
        <w:jc w:val="both"/>
        <w:rPr>
          <w:sz w:val="24"/>
          <w:szCs w:val="24"/>
        </w:rPr>
      </w:pPr>
      <w:r w:rsidRPr="006B1A03">
        <w:rPr>
          <w:sz w:val="24"/>
          <w:szCs w:val="24"/>
        </w:rPr>
        <w:t xml:space="preserve">- електронна адреса: </w:t>
      </w:r>
      <w:r>
        <w:rPr>
          <w:sz w:val="24"/>
          <w:szCs w:val="24"/>
        </w:rPr>
        <w:t xml:space="preserve"> </w:t>
      </w:r>
      <w:hyperlink r:id="rId5" w:history="1">
        <w:r w:rsidRPr="00EE182F">
          <w:rPr>
            <w:rStyle w:val="Hyperlink"/>
            <w:sz w:val="24"/>
            <w:szCs w:val="24"/>
            <w:lang w:val="en-US"/>
          </w:rPr>
          <w:t>miskrada</w:t>
        </w:r>
        <w:r w:rsidRPr="00412530">
          <w:rPr>
            <w:rStyle w:val="Hyperlink"/>
            <w:sz w:val="24"/>
            <w:szCs w:val="24"/>
          </w:rPr>
          <w:t>_</w:t>
        </w:r>
        <w:r w:rsidRPr="00EE182F">
          <w:rPr>
            <w:rStyle w:val="Hyperlink"/>
            <w:sz w:val="24"/>
            <w:szCs w:val="24"/>
            <w:lang w:val="en-US"/>
          </w:rPr>
          <w:t>zd</w:t>
        </w:r>
        <w:r w:rsidRPr="00412530">
          <w:rPr>
            <w:rStyle w:val="Hyperlink"/>
            <w:sz w:val="24"/>
            <w:szCs w:val="24"/>
          </w:rPr>
          <w:t>@</w:t>
        </w:r>
        <w:r w:rsidRPr="00EE182F">
          <w:rPr>
            <w:rStyle w:val="Hyperlink"/>
            <w:sz w:val="24"/>
            <w:szCs w:val="24"/>
            <w:lang w:val="en-US"/>
          </w:rPr>
          <w:t>ukr</w:t>
        </w:r>
        <w:r w:rsidRPr="00412530">
          <w:rPr>
            <w:rStyle w:val="Hyperlink"/>
            <w:sz w:val="24"/>
            <w:szCs w:val="24"/>
          </w:rPr>
          <w:t>.</w:t>
        </w:r>
        <w:r w:rsidRPr="00EE182F">
          <w:rPr>
            <w:rStyle w:val="Hyperlink"/>
            <w:sz w:val="24"/>
            <w:szCs w:val="24"/>
            <w:lang w:val="en-US"/>
          </w:rPr>
          <w:t>net</w:t>
        </w:r>
      </w:hyperlink>
      <w:r w:rsidRPr="00412530">
        <w:rPr>
          <w:sz w:val="24"/>
          <w:szCs w:val="24"/>
        </w:rPr>
        <w:t xml:space="preserve"> </w:t>
      </w:r>
    </w:p>
    <w:p w:rsidR="00D848CB" w:rsidRPr="00412530" w:rsidRDefault="00D848CB" w:rsidP="00FF57BB">
      <w:pPr>
        <w:pStyle w:val="NoSpacing"/>
        <w:ind w:firstLine="720"/>
        <w:jc w:val="both"/>
        <w:rPr>
          <w:sz w:val="24"/>
          <w:szCs w:val="24"/>
        </w:rPr>
      </w:pPr>
      <w:r w:rsidRPr="00412530">
        <w:rPr>
          <w:sz w:val="24"/>
          <w:szCs w:val="24"/>
          <w:shd w:val="clear" w:color="auto" w:fill="FFFFFF"/>
        </w:rPr>
        <w:t>Питома вага суб’єктів малого підприємництва (малих та мікропідприємств разом) у загальній кількості суб’єктів господарювання, на яких поширюється регулювання, не перевищує 10 відсотків, тому, розрахунок витрат на запровадження державного регулювання для суб’єктів малого підприємництва згідно з додатком 4 до Методики проведення аналізу впливу регуляторного акта (Тест малого підприємництва) не проводиться.</w:t>
      </w:r>
    </w:p>
    <w:p w:rsidR="00D848CB" w:rsidRPr="00FF57BB" w:rsidRDefault="00D848CB" w:rsidP="00FF57BB">
      <w:pPr>
        <w:jc w:val="both"/>
        <w:rPr>
          <w:sz w:val="28"/>
          <w:szCs w:val="28"/>
          <w:lang w:val="ru-RU"/>
        </w:rPr>
      </w:pPr>
    </w:p>
    <w:p w:rsidR="00D848CB" w:rsidRPr="00FF57BB" w:rsidRDefault="00D848CB" w:rsidP="00FF57BB">
      <w:pPr>
        <w:jc w:val="both"/>
        <w:rPr>
          <w:sz w:val="28"/>
          <w:szCs w:val="28"/>
          <w:lang w:val="ru-RU"/>
        </w:rPr>
      </w:pPr>
    </w:p>
    <w:p w:rsidR="00D848CB" w:rsidRPr="00403E76" w:rsidRDefault="00D848CB" w:rsidP="00FF57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Владислав СУХЛЯК</w:t>
      </w:r>
    </w:p>
    <w:p w:rsidR="00D848CB" w:rsidRDefault="00D848CB" w:rsidP="00FF57BB">
      <w:pPr>
        <w:pStyle w:val="NoSpacing"/>
        <w:ind w:firstLine="720"/>
        <w:jc w:val="both"/>
        <w:rPr>
          <w:sz w:val="24"/>
          <w:szCs w:val="24"/>
        </w:rPr>
      </w:pPr>
    </w:p>
    <w:p w:rsidR="00D848CB" w:rsidRDefault="00D848CB">
      <w:pPr>
        <w:suppressAutoHyphens w:val="0"/>
        <w:jc w:val="both"/>
        <w:rPr>
          <w:color w:val="000000"/>
        </w:rPr>
      </w:pPr>
    </w:p>
    <w:p w:rsidR="00D848CB" w:rsidRDefault="00D848CB">
      <w:pPr>
        <w:suppressAutoHyphens w:val="0"/>
        <w:jc w:val="both"/>
        <w:rPr>
          <w:color w:val="000000"/>
        </w:rPr>
      </w:pPr>
    </w:p>
    <w:sectPr w:rsidR="00D848CB" w:rsidSect="00717E79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27"/>
    <w:rsid w:val="00031310"/>
    <w:rsid w:val="00226D49"/>
    <w:rsid w:val="002421A6"/>
    <w:rsid w:val="002B494A"/>
    <w:rsid w:val="00325B60"/>
    <w:rsid w:val="00391CC4"/>
    <w:rsid w:val="00403E76"/>
    <w:rsid w:val="00412530"/>
    <w:rsid w:val="005C6824"/>
    <w:rsid w:val="005F61E6"/>
    <w:rsid w:val="006B1A03"/>
    <w:rsid w:val="00704CA2"/>
    <w:rsid w:val="00717E79"/>
    <w:rsid w:val="007C6DF3"/>
    <w:rsid w:val="00811E1B"/>
    <w:rsid w:val="00812E27"/>
    <w:rsid w:val="00833EE4"/>
    <w:rsid w:val="008F5FF4"/>
    <w:rsid w:val="00911C3C"/>
    <w:rsid w:val="00936740"/>
    <w:rsid w:val="009D077A"/>
    <w:rsid w:val="009E4385"/>
    <w:rsid w:val="00A66621"/>
    <w:rsid w:val="00C32189"/>
    <w:rsid w:val="00CB37B2"/>
    <w:rsid w:val="00D848CB"/>
    <w:rsid w:val="00DB3002"/>
    <w:rsid w:val="00E66DEF"/>
    <w:rsid w:val="00EB46D3"/>
    <w:rsid w:val="00EE182F"/>
    <w:rsid w:val="00EE7704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E79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link w:val="Heading1Char"/>
    <w:uiPriority w:val="99"/>
    <w:qFormat/>
    <w:rsid w:val="00717E7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17E79"/>
    <w:pPr>
      <w:keepNext/>
      <w:jc w:val="center"/>
      <w:outlineLvl w:val="1"/>
    </w:pPr>
    <w:rPr>
      <w:b/>
      <w:i/>
      <w:caps/>
      <w:sz w:val="36"/>
      <w:szCs w:val="20"/>
    </w:rPr>
  </w:style>
  <w:style w:type="paragraph" w:styleId="Heading3">
    <w:name w:val="heading 3"/>
    <w:basedOn w:val="Normal"/>
    <w:link w:val="Heading3Char"/>
    <w:uiPriority w:val="99"/>
    <w:qFormat/>
    <w:rsid w:val="00717E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link w:val="Heading9Char"/>
    <w:uiPriority w:val="99"/>
    <w:qFormat/>
    <w:rsid w:val="00717E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053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53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053"/>
    <w:rPr>
      <w:rFonts w:asciiTheme="majorHAnsi" w:eastAsiaTheme="majorEastAsia" w:hAnsiTheme="majorHAnsi" w:cstheme="majorBidi"/>
      <w:b/>
      <w:bCs/>
      <w:sz w:val="26"/>
      <w:szCs w:val="26"/>
      <w:lang w:val="uk-UA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53"/>
    <w:rPr>
      <w:rFonts w:asciiTheme="majorHAnsi" w:eastAsiaTheme="majorEastAsia" w:hAnsiTheme="majorHAnsi" w:cstheme="majorBidi"/>
      <w:lang w:val="uk-UA" w:eastAsia="ar-SA"/>
    </w:rPr>
  </w:style>
  <w:style w:type="character" w:customStyle="1" w:styleId="1">
    <w:name w:val="Основной шрифт абзаца1"/>
    <w:uiPriority w:val="99"/>
    <w:rsid w:val="00717E79"/>
  </w:style>
  <w:style w:type="character" w:customStyle="1" w:styleId="10">
    <w:name w:val="Заголовок 1 Знак"/>
    <w:basedOn w:val="1"/>
    <w:uiPriority w:val="99"/>
    <w:rsid w:val="00717E79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2">
    <w:name w:val="Заголовок 2 Знак"/>
    <w:basedOn w:val="1"/>
    <w:uiPriority w:val="99"/>
    <w:rsid w:val="00717E79"/>
    <w:rPr>
      <w:rFonts w:cs="Times New Roman"/>
      <w:b/>
      <w:i/>
      <w:caps/>
      <w:sz w:val="36"/>
      <w:lang w:eastAsia="ar-SA" w:bidi="ar-SA"/>
    </w:rPr>
  </w:style>
  <w:style w:type="character" w:customStyle="1" w:styleId="3">
    <w:name w:val="Заголовок 3 Знак"/>
    <w:basedOn w:val="1"/>
    <w:uiPriority w:val="99"/>
    <w:rsid w:val="00717E7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a">
    <w:name w:val="Назва Знак"/>
    <w:basedOn w:val="1"/>
    <w:uiPriority w:val="99"/>
    <w:rsid w:val="00717E79"/>
    <w:rPr>
      <w:rFonts w:ascii="Arial" w:eastAsia="Times New Roman" w:hAnsi="Arial" w:cs="Tahoma"/>
      <w:sz w:val="28"/>
      <w:szCs w:val="28"/>
      <w:lang w:eastAsia="ar-SA" w:bidi="ar-SA"/>
    </w:rPr>
  </w:style>
  <w:style w:type="character" w:customStyle="1" w:styleId="a0">
    <w:name w:val="Підзаголовок Знак"/>
    <w:basedOn w:val="1"/>
    <w:uiPriority w:val="99"/>
    <w:rsid w:val="00717E79"/>
    <w:rPr>
      <w:rFonts w:ascii="Arial" w:eastAsia="Times New Roman" w:hAnsi="Arial" w:cs="Tahoma"/>
      <w:i/>
      <w:iCs/>
      <w:sz w:val="28"/>
      <w:szCs w:val="28"/>
      <w:lang w:eastAsia="ar-SA" w:bidi="ar-SA"/>
    </w:rPr>
  </w:style>
  <w:style w:type="character" w:customStyle="1" w:styleId="a1">
    <w:name w:val="Основний текст Знак"/>
    <w:basedOn w:val="1"/>
    <w:uiPriority w:val="99"/>
    <w:rsid w:val="00717E79"/>
    <w:rPr>
      <w:rFonts w:cs="Times New Roman"/>
      <w:sz w:val="24"/>
      <w:szCs w:val="24"/>
      <w:lang w:eastAsia="ar-SA" w:bidi="ar-SA"/>
    </w:rPr>
  </w:style>
  <w:style w:type="character" w:customStyle="1" w:styleId="9">
    <w:name w:val="Заголовок 9 Знак"/>
    <w:basedOn w:val="1"/>
    <w:uiPriority w:val="99"/>
    <w:rsid w:val="00717E79"/>
    <w:rPr>
      <w:rFonts w:ascii="Arial" w:hAnsi="Arial" w:cs="Arial"/>
      <w:sz w:val="22"/>
      <w:szCs w:val="22"/>
      <w:lang w:eastAsia="ar-SA" w:bidi="ar-SA"/>
    </w:rPr>
  </w:style>
  <w:style w:type="character" w:customStyle="1" w:styleId="apple-converted-space">
    <w:name w:val="apple-converted-space"/>
    <w:uiPriority w:val="99"/>
    <w:rsid w:val="00717E79"/>
  </w:style>
  <w:style w:type="character" w:styleId="Emphasis">
    <w:name w:val="Emphasis"/>
    <w:basedOn w:val="DefaultParagraphFont"/>
    <w:uiPriority w:val="99"/>
    <w:qFormat/>
    <w:rsid w:val="00717E79"/>
    <w:rPr>
      <w:rFonts w:cs="Times New Roman"/>
      <w:i/>
    </w:rPr>
  </w:style>
  <w:style w:type="character" w:customStyle="1" w:styleId="ListLabel1">
    <w:name w:val="ListLabel 1"/>
    <w:uiPriority w:val="99"/>
    <w:rsid w:val="00717E79"/>
    <w:rPr>
      <w:sz w:val="28"/>
    </w:rPr>
  </w:style>
  <w:style w:type="character" w:customStyle="1" w:styleId="ListLabel2">
    <w:name w:val="ListLabel 2"/>
    <w:uiPriority w:val="99"/>
    <w:rsid w:val="00717E79"/>
    <w:rPr>
      <w:sz w:val="28"/>
    </w:rPr>
  </w:style>
  <w:style w:type="character" w:customStyle="1" w:styleId="ListLabel3">
    <w:name w:val="ListLabel 3"/>
    <w:uiPriority w:val="99"/>
    <w:rsid w:val="00717E79"/>
    <w:rPr>
      <w:sz w:val="28"/>
    </w:rPr>
  </w:style>
  <w:style w:type="character" w:customStyle="1" w:styleId="ListLabel4">
    <w:name w:val="ListLabel 4"/>
    <w:uiPriority w:val="99"/>
    <w:rsid w:val="00717E79"/>
    <w:rPr>
      <w:sz w:val="20"/>
    </w:rPr>
  </w:style>
  <w:style w:type="character" w:customStyle="1" w:styleId="ListLabel5">
    <w:name w:val="ListLabel 5"/>
    <w:uiPriority w:val="99"/>
    <w:rsid w:val="00717E79"/>
    <w:rPr>
      <w:sz w:val="20"/>
    </w:rPr>
  </w:style>
  <w:style w:type="character" w:customStyle="1" w:styleId="ListLabel6">
    <w:name w:val="ListLabel 6"/>
    <w:uiPriority w:val="99"/>
    <w:rsid w:val="00717E79"/>
    <w:rPr>
      <w:sz w:val="20"/>
    </w:rPr>
  </w:style>
  <w:style w:type="character" w:customStyle="1" w:styleId="ListLabel7">
    <w:name w:val="ListLabel 7"/>
    <w:uiPriority w:val="99"/>
    <w:rsid w:val="00717E79"/>
    <w:rPr>
      <w:sz w:val="20"/>
    </w:rPr>
  </w:style>
  <w:style w:type="character" w:customStyle="1" w:styleId="ListLabel8">
    <w:name w:val="ListLabel 8"/>
    <w:uiPriority w:val="99"/>
    <w:rsid w:val="00717E79"/>
    <w:rPr>
      <w:sz w:val="20"/>
    </w:rPr>
  </w:style>
  <w:style w:type="character" w:customStyle="1" w:styleId="ListLabel9">
    <w:name w:val="ListLabel 9"/>
    <w:uiPriority w:val="99"/>
    <w:rsid w:val="00717E79"/>
    <w:rPr>
      <w:sz w:val="20"/>
    </w:rPr>
  </w:style>
  <w:style w:type="character" w:customStyle="1" w:styleId="ListLabel10">
    <w:name w:val="ListLabel 10"/>
    <w:uiPriority w:val="99"/>
    <w:rsid w:val="00717E79"/>
    <w:rPr>
      <w:sz w:val="20"/>
    </w:rPr>
  </w:style>
  <w:style w:type="character" w:customStyle="1" w:styleId="ListLabel11">
    <w:name w:val="ListLabel 11"/>
    <w:uiPriority w:val="99"/>
    <w:rsid w:val="00717E79"/>
    <w:rPr>
      <w:sz w:val="20"/>
    </w:rPr>
  </w:style>
  <w:style w:type="character" w:customStyle="1" w:styleId="ListLabel12">
    <w:name w:val="ListLabel 12"/>
    <w:uiPriority w:val="99"/>
    <w:rsid w:val="00717E79"/>
    <w:rPr>
      <w:sz w:val="20"/>
    </w:rPr>
  </w:style>
  <w:style w:type="character" w:customStyle="1" w:styleId="ListLabel13">
    <w:name w:val="ListLabel 13"/>
    <w:uiPriority w:val="99"/>
    <w:rsid w:val="00717E79"/>
  </w:style>
  <w:style w:type="character" w:customStyle="1" w:styleId="ListLabel14">
    <w:name w:val="ListLabel 14"/>
    <w:uiPriority w:val="99"/>
    <w:rsid w:val="00717E79"/>
  </w:style>
  <w:style w:type="character" w:customStyle="1" w:styleId="ListLabel15">
    <w:name w:val="ListLabel 15"/>
    <w:uiPriority w:val="99"/>
    <w:rsid w:val="00717E79"/>
  </w:style>
  <w:style w:type="character" w:customStyle="1" w:styleId="ListLabel16">
    <w:name w:val="ListLabel 16"/>
    <w:uiPriority w:val="99"/>
    <w:rsid w:val="00717E79"/>
  </w:style>
  <w:style w:type="character" w:customStyle="1" w:styleId="ListLabel17">
    <w:name w:val="ListLabel 17"/>
    <w:uiPriority w:val="99"/>
    <w:rsid w:val="00717E79"/>
  </w:style>
  <w:style w:type="character" w:customStyle="1" w:styleId="ListLabel18">
    <w:name w:val="ListLabel 18"/>
    <w:uiPriority w:val="99"/>
    <w:rsid w:val="00717E79"/>
  </w:style>
  <w:style w:type="character" w:customStyle="1" w:styleId="ListLabel19">
    <w:name w:val="ListLabel 19"/>
    <w:uiPriority w:val="99"/>
    <w:rsid w:val="00717E79"/>
  </w:style>
  <w:style w:type="character" w:customStyle="1" w:styleId="ListLabel20">
    <w:name w:val="ListLabel 20"/>
    <w:uiPriority w:val="99"/>
    <w:rsid w:val="00717E79"/>
  </w:style>
  <w:style w:type="character" w:customStyle="1" w:styleId="ListLabel21">
    <w:name w:val="ListLabel 21"/>
    <w:uiPriority w:val="99"/>
    <w:rsid w:val="00717E79"/>
  </w:style>
  <w:style w:type="paragraph" w:styleId="Title">
    <w:name w:val="Title"/>
    <w:basedOn w:val="Normal"/>
    <w:next w:val="BodyText"/>
    <w:link w:val="TitleChar"/>
    <w:uiPriority w:val="99"/>
    <w:qFormat/>
    <w:rsid w:val="00717E79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B5053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ar-SA"/>
    </w:rPr>
  </w:style>
  <w:style w:type="paragraph" w:styleId="BodyText">
    <w:name w:val="Body Text"/>
    <w:basedOn w:val="Normal"/>
    <w:link w:val="BodyTextChar"/>
    <w:uiPriority w:val="99"/>
    <w:rsid w:val="00717E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053"/>
    <w:rPr>
      <w:sz w:val="24"/>
      <w:szCs w:val="24"/>
      <w:lang w:val="uk-UA" w:eastAsia="ar-SA"/>
    </w:rPr>
  </w:style>
  <w:style w:type="paragraph" w:styleId="List">
    <w:name w:val="List"/>
    <w:basedOn w:val="BodyText"/>
    <w:uiPriority w:val="99"/>
    <w:rsid w:val="00717E79"/>
    <w:rPr>
      <w:rFonts w:cs="Mangal"/>
    </w:rPr>
  </w:style>
  <w:style w:type="paragraph" w:styleId="Caption">
    <w:name w:val="caption"/>
    <w:basedOn w:val="Normal"/>
    <w:uiPriority w:val="99"/>
    <w:qFormat/>
    <w:rsid w:val="00717E7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717E79"/>
    <w:pPr>
      <w:suppressLineNumbers/>
    </w:pPr>
    <w:rPr>
      <w:rFonts w:cs="Mangal"/>
    </w:rPr>
  </w:style>
  <w:style w:type="paragraph" w:styleId="Subtitle">
    <w:name w:val="Subtitle"/>
    <w:basedOn w:val="Normal"/>
    <w:link w:val="SubtitleChar"/>
    <w:uiPriority w:val="99"/>
    <w:qFormat/>
    <w:rsid w:val="00717E79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053"/>
    <w:rPr>
      <w:rFonts w:asciiTheme="majorHAnsi" w:eastAsiaTheme="majorEastAsia" w:hAnsiTheme="majorHAnsi" w:cstheme="majorBidi"/>
      <w:sz w:val="24"/>
      <w:szCs w:val="24"/>
      <w:lang w:val="uk-UA" w:eastAsia="ar-SA"/>
    </w:rPr>
  </w:style>
  <w:style w:type="paragraph" w:customStyle="1" w:styleId="12">
    <w:name w:val="Обычный (веб)1"/>
    <w:basedOn w:val="Normal"/>
    <w:uiPriority w:val="99"/>
    <w:rsid w:val="00717E79"/>
    <w:pPr>
      <w:suppressAutoHyphens w:val="0"/>
      <w:spacing w:before="280" w:after="280"/>
    </w:pPr>
    <w:rPr>
      <w:lang w:eastAsia="uk-UA"/>
    </w:rPr>
  </w:style>
  <w:style w:type="paragraph" w:customStyle="1" w:styleId="20">
    <w:name w:val="Абзац списка2"/>
    <w:basedOn w:val="Normal"/>
    <w:uiPriority w:val="99"/>
    <w:rsid w:val="00717E79"/>
    <w:pPr>
      <w:ind w:left="720"/>
    </w:pPr>
    <w:rPr>
      <w:rFonts w:ascii="Arial" w:eastAsia="SimSun" w:hAnsi="Arial" w:cs="Mangal"/>
      <w:kern w:val="1"/>
      <w:sz w:val="20"/>
      <w:lang w:val="ru-RU" w:eastAsia="hi-IN" w:bidi="hi-IN"/>
    </w:rPr>
  </w:style>
  <w:style w:type="paragraph" w:customStyle="1" w:styleId="13">
    <w:name w:val="Абзац списка1"/>
    <w:basedOn w:val="Normal"/>
    <w:uiPriority w:val="99"/>
    <w:rsid w:val="00717E79"/>
    <w:pPr>
      <w:ind w:left="720"/>
      <w:contextualSpacing/>
    </w:pPr>
    <w:rPr>
      <w:lang w:val="ru-RU"/>
    </w:rPr>
  </w:style>
  <w:style w:type="paragraph" w:customStyle="1" w:styleId="130">
    <w:name w:val="Обычный (веб)13"/>
    <w:basedOn w:val="Normal"/>
    <w:uiPriority w:val="99"/>
    <w:rsid w:val="00717E79"/>
    <w:pPr>
      <w:widowControl w:val="0"/>
      <w:spacing w:before="280" w:after="280"/>
      <w:jc w:val="both"/>
    </w:pPr>
    <w:rPr>
      <w:kern w:val="1"/>
    </w:rPr>
  </w:style>
  <w:style w:type="paragraph" w:customStyle="1" w:styleId="Standard">
    <w:name w:val="Standard"/>
    <w:uiPriority w:val="99"/>
    <w:rsid w:val="00717E79"/>
    <w:pPr>
      <w:widowControl w:val="0"/>
      <w:suppressAutoHyphens/>
      <w:textAlignment w:val="baseline"/>
    </w:pPr>
    <w:rPr>
      <w:kern w:val="1"/>
      <w:sz w:val="24"/>
      <w:szCs w:val="24"/>
      <w:lang w:val="de-DE" w:eastAsia="fa-IR" w:bidi="fa-IR"/>
    </w:rPr>
  </w:style>
  <w:style w:type="paragraph" w:customStyle="1" w:styleId="21">
    <w:name w:val="Основной текст 21"/>
    <w:basedOn w:val="Normal"/>
    <w:uiPriority w:val="99"/>
    <w:rsid w:val="00717E79"/>
    <w:pPr>
      <w:widowControl w:val="0"/>
      <w:spacing w:after="120" w:line="480" w:lineRule="auto"/>
    </w:pPr>
    <w:rPr>
      <w:kern w:val="1"/>
    </w:rPr>
  </w:style>
  <w:style w:type="paragraph" w:customStyle="1" w:styleId="Textbody">
    <w:name w:val="Text body"/>
    <w:basedOn w:val="Standard"/>
    <w:uiPriority w:val="99"/>
    <w:rsid w:val="00717E79"/>
    <w:pPr>
      <w:widowControl/>
      <w:spacing w:after="120"/>
      <w:textAlignment w:val="auto"/>
    </w:pPr>
    <w:rPr>
      <w:sz w:val="26"/>
      <w:lang w:val="uk-UA" w:eastAsia="zh-CN" w:bidi="ar-SA"/>
    </w:rPr>
  </w:style>
  <w:style w:type="paragraph" w:styleId="NoSpacing">
    <w:name w:val="No Spacing"/>
    <w:link w:val="NoSpacingChar"/>
    <w:uiPriority w:val="99"/>
    <w:qFormat/>
    <w:rsid w:val="00FF57BB"/>
  </w:style>
  <w:style w:type="character" w:customStyle="1" w:styleId="NoSpacingChar">
    <w:name w:val="No Spacing Char"/>
    <w:link w:val="NoSpacing"/>
    <w:uiPriority w:val="99"/>
    <w:locked/>
    <w:rsid w:val="00FF57BB"/>
    <w:rPr>
      <w:rFonts w:eastAsia="Times New Roman"/>
      <w:sz w:val="22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FF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F57BB"/>
    <w:rPr>
      <w:rFonts w:ascii="Courier New" w:hAnsi="Courier New"/>
      <w:lang w:eastAsia="ru-RU"/>
    </w:rPr>
  </w:style>
  <w:style w:type="character" w:styleId="Hyperlink">
    <w:name w:val="Hyperlink"/>
    <w:basedOn w:val="DefaultParagraphFont"/>
    <w:uiPriority w:val="99"/>
    <w:rsid w:val="0041253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krada_zd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12</Pages>
  <Words>4174</Words>
  <Characters>23793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впливу регуляторного акта</dc:title>
  <dc:subject/>
  <dc:creator>Администратор</dc:creator>
  <cp:keywords/>
  <dc:description/>
  <cp:lastModifiedBy>User</cp:lastModifiedBy>
  <cp:revision>11</cp:revision>
  <dcterms:created xsi:type="dcterms:W3CDTF">2024-07-17T05:42:00Z</dcterms:created>
  <dcterms:modified xsi:type="dcterms:W3CDTF">2024-07-19T08:53:00Z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