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78E" w:rsidRDefault="008E678E">
      <w:pPr>
        <w:jc w:val="center"/>
        <w:rPr>
          <w:b/>
          <w:color w:val="000000"/>
          <w:sz w:val="28"/>
          <w:szCs w:val="28"/>
        </w:rPr>
      </w:pPr>
    </w:p>
    <w:tbl>
      <w:tblPr>
        <w:tblW w:w="10348" w:type="dxa"/>
        <w:tblLayout w:type="fixed"/>
        <w:tblCellMar>
          <w:left w:w="115" w:type="dxa"/>
          <w:right w:w="115" w:type="dxa"/>
        </w:tblCellMar>
        <w:tblLook w:val="0000" w:firstRow="0" w:lastRow="0" w:firstColumn="0" w:lastColumn="0" w:noHBand="0" w:noVBand="0"/>
      </w:tblPr>
      <w:tblGrid>
        <w:gridCol w:w="5245"/>
        <w:gridCol w:w="5103"/>
      </w:tblGrid>
      <w:tr w:rsidR="008E678E" w:rsidTr="00EC6050">
        <w:tc>
          <w:tcPr>
            <w:tcW w:w="5245" w:type="dxa"/>
          </w:tcPr>
          <w:p w:rsidR="008E678E" w:rsidRPr="00EC6050" w:rsidRDefault="008E678E" w:rsidP="00EC6050">
            <w:pPr>
              <w:jc w:val="both"/>
              <w:rPr>
                <w:color w:val="000000"/>
                <w:sz w:val="28"/>
                <w:szCs w:val="28"/>
              </w:rPr>
            </w:pPr>
          </w:p>
        </w:tc>
        <w:tc>
          <w:tcPr>
            <w:tcW w:w="5103" w:type="dxa"/>
          </w:tcPr>
          <w:p w:rsidR="008E678E" w:rsidRPr="00EC6050" w:rsidRDefault="00E7498B" w:rsidP="00EC6050">
            <w:pPr>
              <w:pStyle w:val="Style4"/>
              <w:spacing w:line="276" w:lineRule="auto"/>
              <w:ind w:hanging="110"/>
              <w:rPr>
                <w:sz w:val="28"/>
                <w:szCs w:val="28"/>
                <w:lang w:val="uk-UA"/>
              </w:rPr>
            </w:pPr>
            <w:r>
              <w:rPr>
                <w:sz w:val="28"/>
                <w:szCs w:val="28"/>
                <w:lang w:val="uk-UA"/>
              </w:rPr>
              <w:t xml:space="preserve">                    </w:t>
            </w:r>
            <w:r w:rsidR="008E678E">
              <w:rPr>
                <w:sz w:val="28"/>
                <w:szCs w:val="28"/>
                <w:lang w:val="uk-UA"/>
              </w:rPr>
              <w:t xml:space="preserve">Додаток </w:t>
            </w:r>
          </w:p>
          <w:p w:rsidR="008E678E" w:rsidRPr="00EC6050" w:rsidRDefault="00E7498B" w:rsidP="00EC6050">
            <w:pPr>
              <w:pStyle w:val="Style4"/>
              <w:spacing w:line="276" w:lineRule="auto"/>
              <w:ind w:left="-110"/>
              <w:rPr>
                <w:sz w:val="28"/>
                <w:szCs w:val="28"/>
                <w:lang w:val="uk-UA"/>
              </w:rPr>
            </w:pPr>
            <w:r>
              <w:rPr>
                <w:sz w:val="28"/>
                <w:szCs w:val="28"/>
                <w:lang w:val="uk-UA"/>
              </w:rPr>
              <w:t xml:space="preserve">до </w:t>
            </w:r>
            <w:r w:rsidR="008E678E" w:rsidRPr="00EC6050">
              <w:rPr>
                <w:sz w:val="28"/>
                <w:szCs w:val="28"/>
                <w:lang w:val="uk-UA"/>
              </w:rPr>
              <w:t xml:space="preserve">рішення </w:t>
            </w:r>
            <w:r w:rsidR="008E678E">
              <w:rPr>
                <w:sz w:val="28"/>
                <w:szCs w:val="28"/>
                <w:lang w:val="uk-UA"/>
              </w:rPr>
              <w:t xml:space="preserve">виконавчого комітету </w:t>
            </w:r>
            <w:r w:rsidR="008E678E" w:rsidRPr="00EC6050">
              <w:rPr>
                <w:sz w:val="28"/>
                <w:szCs w:val="28"/>
                <w:lang w:val="uk-UA"/>
              </w:rPr>
              <w:t xml:space="preserve">Здолбунівської міської ради </w:t>
            </w:r>
          </w:p>
          <w:p w:rsidR="008E678E" w:rsidRPr="00EC6050" w:rsidRDefault="00E7498B" w:rsidP="00EC6050">
            <w:pPr>
              <w:spacing w:line="276" w:lineRule="auto"/>
              <w:ind w:hanging="110"/>
              <w:rPr>
                <w:sz w:val="28"/>
                <w:szCs w:val="28"/>
              </w:rPr>
            </w:pPr>
            <w:r>
              <w:rPr>
                <w:sz w:val="28"/>
                <w:szCs w:val="28"/>
              </w:rPr>
              <w:t>12.12.2024 № _____</w:t>
            </w:r>
          </w:p>
          <w:p w:rsidR="008E678E" w:rsidRPr="00EC6050" w:rsidRDefault="008E678E" w:rsidP="00EC6050">
            <w:pPr>
              <w:pStyle w:val="Style4"/>
              <w:spacing w:line="276" w:lineRule="auto"/>
              <w:ind w:hanging="110"/>
              <w:jc w:val="both"/>
              <w:rPr>
                <w:color w:val="000000"/>
                <w:sz w:val="28"/>
                <w:szCs w:val="28"/>
                <w:lang w:val="uk-UA"/>
              </w:rPr>
            </w:pPr>
          </w:p>
        </w:tc>
      </w:tr>
    </w:tbl>
    <w:p w:rsidR="008E678E" w:rsidRDefault="008E678E">
      <w:pPr>
        <w:spacing w:line="242" w:lineRule="auto"/>
        <w:jc w:val="center"/>
        <w:rPr>
          <w:b/>
          <w:sz w:val="28"/>
          <w:szCs w:val="28"/>
        </w:rPr>
      </w:pPr>
      <w:r>
        <w:rPr>
          <w:b/>
          <w:sz w:val="28"/>
          <w:szCs w:val="28"/>
        </w:rPr>
        <w:t>Програма покращення матеріально-технічного забезпечення підрозділів територіальної оборони, військових частин Збройних Сил України, інших оборонних та правоохоронних органів України на 2025 -2027 роки</w:t>
      </w:r>
    </w:p>
    <w:p w:rsidR="008E678E" w:rsidRDefault="008E678E">
      <w:pPr>
        <w:jc w:val="center"/>
        <w:rPr>
          <w:sz w:val="28"/>
          <w:szCs w:val="28"/>
        </w:rPr>
      </w:pPr>
    </w:p>
    <w:p w:rsidR="008E678E" w:rsidRDefault="008E678E">
      <w:pPr>
        <w:jc w:val="center"/>
        <w:rPr>
          <w:b/>
          <w:sz w:val="28"/>
          <w:szCs w:val="28"/>
        </w:rPr>
      </w:pPr>
      <w:r>
        <w:rPr>
          <w:b/>
          <w:sz w:val="28"/>
          <w:szCs w:val="28"/>
        </w:rPr>
        <w:t>1. Загальні положення, визначення проблеми, на розв’язання якої спрямована програма</w:t>
      </w:r>
    </w:p>
    <w:p w:rsidR="008E678E" w:rsidRDefault="008E678E">
      <w:pPr>
        <w:ind w:left="360"/>
        <w:jc w:val="both"/>
        <w:rPr>
          <w:sz w:val="28"/>
          <w:szCs w:val="28"/>
        </w:rPr>
      </w:pPr>
    </w:p>
    <w:p w:rsidR="008E678E" w:rsidRDefault="008E678E">
      <w:pPr>
        <w:widowControl w:val="0"/>
        <w:tabs>
          <w:tab w:val="left" w:pos="9781"/>
        </w:tabs>
        <w:ind w:right="140" w:firstLine="709"/>
        <w:jc w:val="both"/>
        <w:rPr>
          <w:sz w:val="28"/>
          <w:szCs w:val="28"/>
        </w:rPr>
      </w:pPr>
      <w:r>
        <w:rPr>
          <w:sz w:val="28"/>
          <w:szCs w:val="28"/>
        </w:rPr>
        <w:t>Програму покращення матеріально-технічного забезпечення підрозділів територіальної оборони, військових частин Збройних Сил України, інших оборонних та правоохоронних органів України на 2025 -2027 роки (далі – Програма), розроблено на основі законів України  «Про правовий режим воєнного стану», «Про місцеве самоврядування в Україні», «Про основи національного спротиву», «Про оборону України», «Про Збройні Сили України», «Про Національну гвардію України», «Про Державну спеціальну службу транспорту», «Про мобілізаційну підготовку та мобілізацію», «Про державний кордон України», «Про Державну прикордонну службу України».</w:t>
      </w:r>
    </w:p>
    <w:p w:rsidR="008E678E" w:rsidRDefault="008E678E">
      <w:pPr>
        <w:widowControl w:val="0"/>
        <w:tabs>
          <w:tab w:val="left" w:pos="9781"/>
        </w:tabs>
        <w:ind w:right="140" w:firstLine="709"/>
        <w:jc w:val="both"/>
        <w:rPr>
          <w:sz w:val="28"/>
          <w:szCs w:val="28"/>
        </w:rPr>
      </w:pPr>
      <w:r>
        <w:rPr>
          <w:sz w:val="28"/>
          <w:szCs w:val="28"/>
        </w:rPr>
        <w:t>Основне завдання, яке ставиться перед органами місцевого самоврядування та місцевими органами виконавчої влади – організація взаємодії з підрозділами територіальної оборони, військовими частинами Збройних Сил України, інших оборонних та правоохоронних органів України, надання допомоги і покращення їх матеріально-технічного забезпечення, закупівля дронів та іншого обладнання.</w:t>
      </w:r>
    </w:p>
    <w:p w:rsidR="008E678E" w:rsidRDefault="008E678E">
      <w:pPr>
        <w:ind w:firstLine="709"/>
        <w:jc w:val="both"/>
        <w:rPr>
          <w:sz w:val="28"/>
          <w:szCs w:val="28"/>
        </w:rPr>
      </w:pPr>
      <w:r>
        <w:rPr>
          <w:sz w:val="28"/>
          <w:szCs w:val="28"/>
        </w:rPr>
        <w:t>Основним принципом Програми є підтримка підрозділів територіальної оборони, військових частин Збройних Сил України, інших оборонних та правоохоронних органів України, сприяння обороноздатності та мобілізаційної готовності держави, надання їм допомоги для покращення умов несення служби.</w:t>
      </w:r>
    </w:p>
    <w:p w:rsidR="008E678E" w:rsidRDefault="008E678E" w:rsidP="00066CB7">
      <w:pPr>
        <w:ind w:firstLine="709"/>
        <w:jc w:val="both"/>
        <w:rPr>
          <w:sz w:val="28"/>
          <w:szCs w:val="28"/>
        </w:rPr>
      </w:pPr>
      <w:r>
        <w:rPr>
          <w:sz w:val="28"/>
          <w:szCs w:val="28"/>
        </w:rPr>
        <w:t xml:space="preserve">Указом  Президента  України  від  24.02.2022  №  64/2022  введено  воєнний стан  в  Україні.  Під  час  збройної  агресії  російської  федерації  проти  України надважливим  стає  питання  створення  сучасних  боєздатних,  професійно підготовлених Збройних Сил України, які б за своєю структурою, чисельністю і забезпеченістю  відповідали  покладеним  на  них  завданням  та  стандартам збройних  сил  провідних  країн  світу.  У  зв’язку  із  проблемами  наповнення дохідної частини державного бюджету  України через проведення бойових дій виникають нагальні потреби забезпечення військових формувань. Кожна  з  цих проблем  вимагає  необхідного  рівня  координації  дій  та  концентрації  ресурсів. </w:t>
      </w:r>
    </w:p>
    <w:p w:rsidR="008E678E" w:rsidRDefault="008E678E">
      <w:pPr>
        <w:ind w:firstLine="900"/>
        <w:jc w:val="both"/>
        <w:rPr>
          <w:sz w:val="28"/>
          <w:szCs w:val="28"/>
        </w:rPr>
      </w:pPr>
      <w:r>
        <w:rPr>
          <w:sz w:val="28"/>
          <w:szCs w:val="28"/>
        </w:rPr>
        <w:t>Основою  цього  є  належне  матеріально-технічне  забезпечення  підрозділів територіальної оборони, військових частин Збройних Сил України, інших оборонних та правоохоронних органів України</w:t>
      </w:r>
      <w:r>
        <w:rPr>
          <w:b/>
          <w:sz w:val="28"/>
          <w:szCs w:val="28"/>
        </w:rPr>
        <w:t xml:space="preserve"> </w:t>
      </w:r>
      <w:r>
        <w:rPr>
          <w:sz w:val="28"/>
          <w:szCs w:val="28"/>
        </w:rPr>
        <w:t>щодо виконання військового обов’язку із захисту держави.</w:t>
      </w:r>
    </w:p>
    <w:p w:rsidR="008E678E" w:rsidRDefault="008E678E">
      <w:pPr>
        <w:jc w:val="both"/>
        <w:rPr>
          <w:sz w:val="28"/>
          <w:szCs w:val="28"/>
        </w:rPr>
      </w:pPr>
      <w:bookmarkStart w:id="0" w:name="_GoBack"/>
      <w:bookmarkEnd w:id="0"/>
    </w:p>
    <w:p w:rsidR="008E678E" w:rsidRDefault="008E678E">
      <w:pPr>
        <w:jc w:val="center"/>
        <w:rPr>
          <w:b/>
          <w:sz w:val="28"/>
          <w:szCs w:val="28"/>
        </w:rPr>
      </w:pPr>
      <w:r>
        <w:rPr>
          <w:b/>
          <w:sz w:val="28"/>
          <w:szCs w:val="28"/>
        </w:rPr>
        <w:lastRenderedPageBreak/>
        <w:t>2. Мета Програми</w:t>
      </w:r>
    </w:p>
    <w:p w:rsidR="008E678E" w:rsidRDefault="008E678E">
      <w:pPr>
        <w:jc w:val="center"/>
        <w:rPr>
          <w:b/>
          <w:sz w:val="28"/>
          <w:szCs w:val="28"/>
        </w:rPr>
      </w:pPr>
    </w:p>
    <w:p w:rsidR="008E678E" w:rsidRDefault="008E678E">
      <w:pPr>
        <w:ind w:firstLine="900"/>
        <w:jc w:val="both"/>
        <w:rPr>
          <w:sz w:val="28"/>
          <w:szCs w:val="28"/>
        </w:rPr>
      </w:pPr>
      <w:r>
        <w:rPr>
          <w:sz w:val="28"/>
          <w:szCs w:val="28"/>
        </w:rPr>
        <w:t>Метою Програми є залучення додаткових фінансових ресурсів з місцевого бюджету  та  інших  джерел,  не  заборонених  законодавством,  для  підвищення обороноздатності України:</w:t>
      </w:r>
    </w:p>
    <w:p w:rsidR="008E678E" w:rsidRDefault="008E678E">
      <w:pPr>
        <w:ind w:firstLine="900"/>
        <w:jc w:val="both"/>
        <w:rPr>
          <w:sz w:val="28"/>
          <w:szCs w:val="28"/>
        </w:rPr>
      </w:pPr>
      <w:r>
        <w:rPr>
          <w:sz w:val="28"/>
          <w:szCs w:val="28"/>
        </w:rPr>
        <w:t>забезпечення належних умов для якісного виконання завдань та підтримки високого  рівня  боєготовності  підрозділів  територіальної  оборони,  військових частин  Збройних  Сил  України,  інших  оборонних  та  правоохоронних  органів України;</w:t>
      </w:r>
    </w:p>
    <w:p w:rsidR="008E678E" w:rsidRDefault="008E678E">
      <w:pPr>
        <w:ind w:firstLine="900"/>
        <w:jc w:val="both"/>
        <w:rPr>
          <w:sz w:val="28"/>
          <w:szCs w:val="28"/>
        </w:rPr>
      </w:pPr>
      <w:r>
        <w:rPr>
          <w:sz w:val="28"/>
          <w:szCs w:val="28"/>
        </w:rPr>
        <w:t>підвищення обороноздатності та мобілізаційної готовності підрозділів територіальної оборони, військових частин Збройних Сил України, інших оборонних та правоохоронних органів України;</w:t>
      </w:r>
    </w:p>
    <w:p w:rsidR="008E678E" w:rsidRDefault="008E678E">
      <w:pPr>
        <w:ind w:firstLine="900"/>
        <w:jc w:val="both"/>
        <w:rPr>
          <w:sz w:val="28"/>
          <w:szCs w:val="28"/>
        </w:rPr>
      </w:pPr>
      <w:r>
        <w:rPr>
          <w:sz w:val="28"/>
          <w:szCs w:val="28"/>
        </w:rPr>
        <w:t>покращення  матеріально-технічного  забезпечення  підрозділів територіальної оборони, військових частин Збройних Сил України, інших оборонних та правоохоронних органів України;</w:t>
      </w:r>
    </w:p>
    <w:p w:rsidR="008E678E" w:rsidRDefault="008E678E">
      <w:pPr>
        <w:ind w:firstLine="900"/>
        <w:jc w:val="both"/>
        <w:rPr>
          <w:sz w:val="28"/>
          <w:szCs w:val="28"/>
        </w:rPr>
      </w:pPr>
      <w:r>
        <w:rPr>
          <w:sz w:val="28"/>
          <w:szCs w:val="28"/>
        </w:rPr>
        <w:t xml:space="preserve">налагодження ефективного цивільно-військового співробітництва; </w:t>
      </w:r>
    </w:p>
    <w:p w:rsidR="008E678E" w:rsidRDefault="008E678E">
      <w:pPr>
        <w:ind w:firstLine="900"/>
        <w:jc w:val="both"/>
        <w:rPr>
          <w:sz w:val="28"/>
          <w:szCs w:val="28"/>
        </w:rPr>
      </w:pPr>
      <w:r>
        <w:rPr>
          <w:sz w:val="28"/>
          <w:szCs w:val="28"/>
        </w:rPr>
        <w:t>створення  умов  для  повноцінної  підготовки  до  виконання  поставлених завдань перед військовими частинами;</w:t>
      </w:r>
    </w:p>
    <w:p w:rsidR="008E678E" w:rsidRDefault="008E678E">
      <w:pPr>
        <w:ind w:firstLine="900"/>
        <w:jc w:val="both"/>
        <w:rPr>
          <w:sz w:val="28"/>
          <w:szCs w:val="28"/>
        </w:rPr>
      </w:pPr>
      <w:r>
        <w:rPr>
          <w:sz w:val="28"/>
          <w:szCs w:val="28"/>
        </w:rPr>
        <w:t xml:space="preserve">зміцнення  співпраці  між  органами  місцевого  самоврядування  та </w:t>
      </w:r>
    </w:p>
    <w:p w:rsidR="008E678E" w:rsidRDefault="008E678E">
      <w:pPr>
        <w:ind w:firstLine="900"/>
        <w:jc w:val="both"/>
        <w:rPr>
          <w:sz w:val="28"/>
          <w:szCs w:val="28"/>
        </w:rPr>
      </w:pPr>
      <w:r>
        <w:rPr>
          <w:sz w:val="28"/>
          <w:szCs w:val="28"/>
        </w:rPr>
        <w:t>підрозділами територіальної оборони, військовими частинами Збройних Сил України, інших оборонних та правоохоронних органів України.</w:t>
      </w:r>
    </w:p>
    <w:p w:rsidR="008E678E" w:rsidRDefault="008E678E">
      <w:pPr>
        <w:jc w:val="both"/>
        <w:rPr>
          <w:sz w:val="28"/>
          <w:szCs w:val="28"/>
        </w:rPr>
      </w:pPr>
    </w:p>
    <w:p w:rsidR="008E678E" w:rsidRDefault="008E678E">
      <w:pPr>
        <w:widowControl w:val="0"/>
        <w:spacing w:line="322" w:lineRule="auto"/>
        <w:ind w:right="23" w:firstLine="851"/>
        <w:jc w:val="center"/>
        <w:rPr>
          <w:b/>
          <w:sz w:val="28"/>
          <w:szCs w:val="28"/>
        </w:rPr>
      </w:pPr>
      <w:r>
        <w:rPr>
          <w:b/>
          <w:sz w:val="28"/>
          <w:szCs w:val="28"/>
        </w:rPr>
        <w:t>3. Строки та джерела фінансування Програми</w:t>
      </w:r>
    </w:p>
    <w:p w:rsidR="008E678E" w:rsidRDefault="008E678E">
      <w:pPr>
        <w:widowControl w:val="0"/>
        <w:spacing w:before="1" w:line="322" w:lineRule="auto"/>
        <w:ind w:firstLine="851"/>
        <w:jc w:val="both"/>
        <w:rPr>
          <w:sz w:val="28"/>
          <w:szCs w:val="28"/>
        </w:rPr>
      </w:pPr>
      <w:r>
        <w:rPr>
          <w:sz w:val="28"/>
          <w:szCs w:val="28"/>
        </w:rPr>
        <w:t>Реалізація Програми відбуватиметься упродовж 2025 - 2027 років.</w:t>
      </w:r>
    </w:p>
    <w:p w:rsidR="008E678E" w:rsidRDefault="008E678E">
      <w:pPr>
        <w:widowControl w:val="0"/>
        <w:ind w:right="140" w:firstLine="851"/>
        <w:jc w:val="both"/>
        <w:rPr>
          <w:sz w:val="28"/>
          <w:szCs w:val="28"/>
        </w:rPr>
      </w:pPr>
      <w:r>
        <w:rPr>
          <w:sz w:val="28"/>
          <w:szCs w:val="28"/>
        </w:rPr>
        <w:t>Фінансування видатків, передбачених Програмою, здійснюватиметься за рахунок коштів бюджету територіальної громади та інших джерел не заборонених чинним законодавством.</w:t>
      </w:r>
    </w:p>
    <w:p w:rsidR="008E678E" w:rsidRDefault="008E678E">
      <w:pPr>
        <w:widowControl w:val="0"/>
        <w:spacing w:line="322" w:lineRule="auto"/>
        <w:ind w:right="23" w:firstLine="851"/>
        <w:jc w:val="center"/>
        <w:rPr>
          <w:b/>
          <w:sz w:val="28"/>
          <w:szCs w:val="28"/>
        </w:rPr>
      </w:pPr>
    </w:p>
    <w:p w:rsidR="008E678E" w:rsidRDefault="008E678E">
      <w:pPr>
        <w:keepNext/>
        <w:widowControl w:val="0"/>
        <w:jc w:val="center"/>
        <w:rPr>
          <w:b/>
          <w:sz w:val="28"/>
          <w:szCs w:val="28"/>
        </w:rPr>
      </w:pPr>
      <w:r>
        <w:rPr>
          <w:b/>
          <w:sz w:val="28"/>
          <w:szCs w:val="28"/>
        </w:rPr>
        <w:t>4. Завдання і заходи Програми</w:t>
      </w:r>
    </w:p>
    <w:p w:rsidR="008E678E" w:rsidRDefault="008E678E">
      <w:pPr>
        <w:widowControl w:val="0"/>
        <w:ind w:right="140" w:firstLine="851"/>
        <w:jc w:val="both"/>
        <w:rPr>
          <w:sz w:val="28"/>
          <w:szCs w:val="28"/>
        </w:rPr>
      </w:pPr>
      <w:r>
        <w:rPr>
          <w:sz w:val="28"/>
          <w:szCs w:val="28"/>
        </w:rPr>
        <w:t>Перелік заходів і завдань з виконання Програми, строки виконання, обсяги та джерела фінансування визначено у додатках 3.1, 3.2, 3.3 до Програми.</w:t>
      </w:r>
    </w:p>
    <w:p w:rsidR="008E678E" w:rsidRDefault="008E678E">
      <w:pPr>
        <w:widowControl w:val="0"/>
        <w:ind w:right="140" w:firstLine="851"/>
        <w:jc w:val="both"/>
        <w:rPr>
          <w:b/>
          <w:sz w:val="28"/>
          <w:szCs w:val="28"/>
        </w:rPr>
      </w:pPr>
      <w:r>
        <w:rPr>
          <w:sz w:val="28"/>
          <w:szCs w:val="28"/>
        </w:rPr>
        <w:t>Реалізація основних завдань Програми дасть змогу забезпечити посильну допомогу у матеріально-технічному та іншому забезпеченні підрозділів територіальної оборони, військових частин Збройних Сил України, інших оборонних та правоохоронних органів України.</w:t>
      </w:r>
    </w:p>
    <w:p w:rsidR="008E678E" w:rsidRDefault="008E678E">
      <w:pPr>
        <w:keepNext/>
        <w:widowControl w:val="0"/>
        <w:jc w:val="center"/>
        <w:rPr>
          <w:b/>
          <w:sz w:val="28"/>
          <w:szCs w:val="28"/>
        </w:rPr>
      </w:pPr>
    </w:p>
    <w:p w:rsidR="008E678E" w:rsidRDefault="008E678E">
      <w:pPr>
        <w:jc w:val="center"/>
        <w:rPr>
          <w:b/>
          <w:color w:val="00000A"/>
          <w:sz w:val="28"/>
          <w:szCs w:val="28"/>
        </w:rPr>
      </w:pPr>
      <w:r>
        <w:rPr>
          <w:b/>
          <w:color w:val="00000A"/>
          <w:sz w:val="28"/>
          <w:szCs w:val="28"/>
        </w:rPr>
        <w:t>5. Очікувані результати, ефективність Програми</w:t>
      </w:r>
    </w:p>
    <w:p w:rsidR="008E678E" w:rsidRDefault="008E678E">
      <w:pPr>
        <w:widowControl w:val="0"/>
        <w:ind w:right="140" w:firstLine="854"/>
        <w:jc w:val="both"/>
        <w:rPr>
          <w:sz w:val="28"/>
          <w:szCs w:val="28"/>
        </w:rPr>
      </w:pPr>
      <w:r>
        <w:rPr>
          <w:sz w:val="28"/>
          <w:szCs w:val="28"/>
        </w:rPr>
        <w:t>Очікуваними результатами виконання заходів Програми є:</w:t>
      </w:r>
    </w:p>
    <w:p w:rsidR="008E678E" w:rsidRDefault="008E678E">
      <w:pPr>
        <w:widowControl w:val="0"/>
        <w:ind w:right="140" w:firstLine="854"/>
        <w:jc w:val="both"/>
        <w:rPr>
          <w:sz w:val="28"/>
          <w:szCs w:val="28"/>
        </w:rPr>
      </w:pPr>
      <w:r>
        <w:rPr>
          <w:sz w:val="28"/>
          <w:szCs w:val="28"/>
        </w:rPr>
        <w:t>забезпечення високої готовності до виконання завдань за призначенням підрозділів територіальної оборони, військових частин Збройних Сил України, інших оборонних та правоохоронних органів України</w:t>
      </w:r>
      <w:r>
        <w:rPr>
          <w:b/>
          <w:sz w:val="28"/>
          <w:szCs w:val="28"/>
        </w:rPr>
        <w:t xml:space="preserve"> </w:t>
      </w:r>
      <w:r>
        <w:rPr>
          <w:sz w:val="28"/>
          <w:szCs w:val="28"/>
        </w:rPr>
        <w:t>щодо протистояння російському воєнному вторгненню, охорони об’єктів критичної інфраструктури, диверсійної діяльності ворога.</w:t>
      </w:r>
    </w:p>
    <w:p w:rsidR="008E678E" w:rsidRDefault="008E678E">
      <w:pPr>
        <w:widowControl w:val="0"/>
        <w:ind w:right="140" w:firstLine="854"/>
        <w:jc w:val="both"/>
        <w:rPr>
          <w:sz w:val="28"/>
          <w:szCs w:val="28"/>
        </w:rPr>
      </w:pPr>
      <w:r>
        <w:rPr>
          <w:sz w:val="28"/>
          <w:szCs w:val="28"/>
        </w:rPr>
        <w:t xml:space="preserve">Реалізація програми створить можливість покращити матеріально – </w:t>
      </w:r>
      <w:r>
        <w:rPr>
          <w:sz w:val="28"/>
          <w:szCs w:val="28"/>
        </w:rPr>
        <w:lastRenderedPageBreak/>
        <w:t>технічний стан та оснащення підрозділів територіальної оборони, військових частин Збройних Сил України, інших оборонних та правоохоронних органів України. Придбання квадрокоптерів, комплектуючих до них  та інших необхідних матеріальних засобів відповідно до запитів військових частин та інших підрозділів та  формувань підвищить їх боєздатність та збереже життя і здоров’я  особового складу підрозділів.</w:t>
      </w:r>
    </w:p>
    <w:p w:rsidR="008E678E" w:rsidRDefault="008E678E">
      <w:pPr>
        <w:keepNext/>
        <w:widowControl w:val="0"/>
        <w:ind w:firstLine="851"/>
        <w:jc w:val="both"/>
        <w:rPr>
          <w:sz w:val="28"/>
          <w:szCs w:val="28"/>
        </w:rPr>
      </w:pPr>
    </w:p>
    <w:p w:rsidR="008E678E" w:rsidRDefault="008E678E">
      <w:pPr>
        <w:keepNext/>
        <w:widowControl w:val="0"/>
        <w:jc w:val="center"/>
        <w:rPr>
          <w:b/>
          <w:sz w:val="28"/>
          <w:szCs w:val="28"/>
        </w:rPr>
      </w:pPr>
      <w:r>
        <w:rPr>
          <w:b/>
          <w:sz w:val="28"/>
          <w:szCs w:val="28"/>
        </w:rPr>
        <w:t>6. Координація та контроль за виконанням Програми</w:t>
      </w:r>
    </w:p>
    <w:p w:rsidR="008E678E" w:rsidRDefault="008E678E">
      <w:pPr>
        <w:ind w:firstLine="567"/>
        <w:jc w:val="both"/>
        <w:rPr>
          <w:b/>
          <w:color w:val="00000A"/>
          <w:sz w:val="28"/>
          <w:szCs w:val="28"/>
        </w:rPr>
      </w:pPr>
      <w:r>
        <w:rPr>
          <w:sz w:val="28"/>
          <w:szCs w:val="28"/>
        </w:rPr>
        <w:t xml:space="preserve">Організацію та координацію виконання Програми здійснює Здолбунівська міська рада Рівненської області, яка забезпечує реалізацію заходів, аналізує хід виконання основних її завдань упродовж терміну дії Програми. </w:t>
      </w:r>
    </w:p>
    <w:p w:rsidR="008E678E" w:rsidRDefault="008E678E">
      <w:pPr>
        <w:jc w:val="both"/>
      </w:pPr>
    </w:p>
    <w:p w:rsidR="008E678E" w:rsidRDefault="008E678E" w:rsidP="00885E0D">
      <w:pPr>
        <w:autoSpaceDN w:val="0"/>
        <w:rPr>
          <w:sz w:val="28"/>
          <w:szCs w:val="28"/>
          <w:lang w:eastAsia="zh-CN"/>
        </w:rPr>
      </w:pPr>
    </w:p>
    <w:p w:rsidR="008E678E" w:rsidRDefault="008E678E" w:rsidP="00885E0D">
      <w:pPr>
        <w:autoSpaceDN w:val="0"/>
        <w:rPr>
          <w:sz w:val="28"/>
          <w:szCs w:val="28"/>
          <w:lang w:eastAsia="zh-CN"/>
        </w:rPr>
      </w:pPr>
    </w:p>
    <w:p w:rsidR="008E678E" w:rsidRDefault="008E678E" w:rsidP="00885E0D">
      <w:pPr>
        <w:autoSpaceDN w:val="0"/>
        <w:rPr>
          <w:sz w:val="28"/>
          <w:szCs w:val="28"/>
          <w:lang w:eastAsia="zh-CN"/>
        </w:rPr>
      </w:pPr>
    </w:p>
    <w:p w:rsidR="008E678E" w:rsidRPr="004319BA" w:rsidRDefault="008E678E" w:rsidP="00270B52">
      <w:pPr>
        <w:rPr>
          <w:spacing w:val="-11"/>
          <w:sz w:val="28"/>
          <w:szCs w:val="28"/>
        </w:rPr>
      </w:pPr>
      <w:r w:rsidRPr="004319BA">
        <w:rPr>
          <w:spacing w:val="-11"/>
          <w:sz w:val="28"/>
          <w:szCs w:val="28"/>
        </w:rPr>
        <w:t>Заступник міського голови</w:t>
      </w:r>
    </w:p>
    <w:p w:rsidR="008E678E" w:rsidRDefault="008E678E" w:rsidP="00270B52">
      <w:pPr>
        <w:suppressAutoHyphens/>
        <w:rPr>
          <w:lang w:eastAsia="zh-CN"/>
        </w:rPr>
      </w:pPr>
      <w:r w:rsidRPr="004319BA">
        <w:rPr>
          <w:spacing w:val="-11"/>
          <w:sz w:val="28"/>
          <w:szCs w:val="28"/>
        </w:rPr>
        <w:t>з питань діяльності виконавчих органів ради</w:t>
      </w:r>
      <w:r w:rsidRPr="004319BA">
        <w:rPr>
          <w:spacing w:val="-11"/>
          <w:sz w:val="28"/>
          <w:szCs w:val="28"/>
        </w:rPr>
        <w:tab/>
      </w:r>
      <w:r w:rsidRPr="004319BA">
        <w:rPr>
          <w:spacing w:val="-11"/>
          <w:sz w:val="28"/>
          <w:szCs w:val="28"/>
        </w:rPr>
        <w:tab/>
        <w:t xml:space="preserve">              </w:t>
      </w:r>
      <w:r>
        <w:rPr>
          <w:spacing w:val="-11"/>
          <w:sz w:val="28"/>
          <w:szCs w:val="28"/>
        </w:rPr>
        <w:t xml:space="preserve">             </w:t>
      </w:r>
      <w:r w:rsidRPr="004319BA">
        <w:rPr>
          <w:spacing w:val="-11"/>
          <w:sz w:val="28"/>
          <w:szCs w:val="28"/>
        </w:rPr>
        <w:t xml:space="preserve"> Юрій СОСЮК</w:t>
      </w:r>
    </w:p>
    <w:p w:rsidR="008E678E" w:rsidRDefault="008E678E" w:rsidP="00270B52">
      <w:pPr>
        <w:autoSpaceDN w:val="0"/>
        <w:rPr>
          <w:lang w:eastAsia="zh-CN"/>
        </w:rPr>
      </w:pPr>
    </w:p>
    <w:sectPr w:rsidR="008E678E" w:rsidSect="006F7039">
      <w:headerReference w:type="default" r:id="rId7"/>
      <w:pgSz w:w="11906" w:h="16838"/>
      <w:pgMar w:top="426" w:right="567" w:bottom="56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78E" w:rsidRDefault="008E678E">
      <w:r>
        <w:separator/>
      </w:r>
    </w:p>
  </w:endnote>
  <w:endnote w:type="continuationSeparator" w:id="0">
    <w:p w:rsidR="008E678E" w:rsidRDefault="008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78E" w:rsidRDefault="008E678E">
      <w:r>
        <w:separator/>
      </w:r>
    </w:p>
  </w:footnote>
  <w:footnote w:type="continuationSeparator" w:id="0">
    <w:p w:rsidR="008E678E" w:rsidRDefault="008E67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8E" w:rsidRDefault="008E678E">
    <w:pP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E7498B">
      <w:rPr>
        <w:noProof/>
        <w:color w:val="000000"/>
      </w:rPr>
      <w:t>3</w:t>
    </w:r>
    <w:r>
      <w:rPr>
        <w:color w:val="000000"/>
      </w:rPr>
      <w:fldChar w:fldCharType="end"/>
    </w:r>
  </w:p>
  <w:p w:rsidR="008E678E" w:rsidRDefault="008E678E">
    <w:pP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81E8C"/>
    <w:multiLevelType w:val="multilevel"/>
    <w:tmpl w:val="2032A59E"/>
    <w:lvl w:ilvl="0">
      <w:start w:val="1"/>
      <w:numFmt w:val="decimal"/>
      <w:lvlText w:val=""/>
      <w:lvlJc w:val="left"/>
      <w:pPr>
        <w:ind w:left="432" w:hanging="432"/>
      </w:pPr>
      <w:rPr>
        <w:rFonts w:cs="Times New Roman"/>
      </w:rPr>
    </w:lvl>
    <w:lvl w:ilvl="1">
      <w:start w:val="1"/>
      <w:numFmt w:val="decimal"/>
      <w:lvlText w:val=""/>
      <w:lvlJc w:val="left"/>
      <w:pPr>
        <w:ind w:left="576" w:hanging="576"/>
      </w:pPr>
      <w:rPr>
        <w:rFonts w:cs="Times New Roman"/>
      </w:rPr>
    </w:lvl>
    <w:lvl w:ilvl="2">
      <w:start w:val="1"/>
      <w:numFmt w:val="decimal"/>
      <w:lvlText w:val=""/>
      <w:lvlJc w:val="left"/>
      <w:pPr>
        <w:ind w:left="720" w:hanging="720"/>
      </w:pPr>
      <w:rPr>
        <w:rFonts w:cs="Times New Roman"/>
      </w:rPr>
    </w:lvl>
    <w:lvl w:ilvl="3">
      <w:start w:val="1"/>
      <w:numFmt w:val="decimal"/>
      <w:lvlText w:val=""/>
      <w:lvlJc w:val="left"/>
      <w:pPr>
        <w:ind w:left="864" w:hanging="864"/>
      </w:pPr>
      <w:rPr>
        <w:rFonts w:cs="Times New Roman"/>
      </w:rPr>
    </w:lvl>
    <w:lvl w:ilvl="4">
      <w:start w:val="1"/>
      <w:numFmt w:val="decimal"/>
      <w:lvlText w:val=""/>
      <w:lvlJc w:val="left"/>
      <w:pPr>
        <w:ind w:left="1008" w:hanging="1008"/>
      </w:pPr>
      <w:rPr>
        <w:rFonts w:cs="Times New Roman"/>
      </w:rPr>
    </w:lvl>
    <w:lvl w:ilvl="5">
      <w:start w:val="1"/>
      <w:numFmt w:val="decimal"/>
      <w:lvlText w:val=""/>
      <w:lvlJc w:val="left"/>
      <w:pPr>
        <w:ind w:left="1152" w:hanging="1152"/>
      </w:pPr>
      <w:rPr>
        <w:rFonts w:cs="Times New Roman"/>
      </w:rPr>
    </w:lvl>
    <w:lvl w:ilvl="6">
      <w:start w:val="1"/>
      <w:numFmt w:val="decimal"/>
      <w:lvlText w:val=""/>
      <w:lvlJc w:val="left"/>
      <w:pPr>
        <w:ind w:left="1296" w:hanging="1296"/>
      </w:pPr>
      <w:rPr>
        <w:rFonts w:cs="Times New Roman"/>
      </w:rPr>
    </w:lvl>
    <w:lvl w:ilvl="7">
      <w:start w:val="1"/>
      <w:numFmt w:val="decimal"/>
      <w:lvlText w:val=""/>
      <w:lvlJc w:val="left"/>
      <w:pPr>
        <w:ind w:left="1440" w:hanging="1440"/>
      </w:pPr>
      <w:rPr>
        <w:rFonts w:cs="Times New Roman"/>
      </w:rPr>
    </w:lvl>
    <w:lvl w:ilvl="8">
      <w:start w:val="1"/>
      <w:numFmt w:val="decimal"/>
      <w:lvlText w:val=""/>
      <w:lvlJc w:val="left"/>
      <w:pPr>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CA3"/>
    <w:rsid w:val="00066CB7"/>
    <w:rsid w:val="001D56EA"/>
    <w:rsid w:val="00270B52"/>
    <w:rsid w:val="00401832"/>
    <w:rsid w:val="004319BA"/>
    <w:rsid w:val="00670CA3"/>
    <w:rsid w:val="006F7039"/>
    <w:rsid w:val="00885E0D"/>
    <w:rsid w:val="008E678E"/>
    <w:rsid w:val="00932ADE"/>
    <w:rsid w:val="00965217"/>
    <w:rsid w:val="00B86D1C"/>
    <w:rsid w:val="00B9204B"/>
    <w:rsid w:val="00D34C9E"/>
    <w:rsid w:val="00D46D06"/>
    <w:rsid w:val="00E50DD4"/>
    <w:rsid w:val="00E7498B"/>
    <w:rsid w:val="00EB73B7"/>
    <w:rsid w:val="00EC6050"/>
    <w:rsid w:val="00F40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78656C"/>
  <w15:docId w15:val="{A8E4263E-1445-4FD8-86E9-530FCF18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0"/>
      <w:szCs w:val="20"/>
      <w:lang w:val="uk-UA"/>
    </w:rPr>
  </w:style>
  <w:style w:type="paragraph" w:styleId="1">
    <w:name w:val="heading 1"/>
    <w:basedOn w:val="a"/>
    <w:next w:val="a"/>
    <w:link w:val="10"/>
    <w:uiPriority w:val="99"/>
    <w:qFormat/>
    <w:pPr>
      <w:keepNext/>
      <w:outlineLvl w:val="0"/>
    </w:pPr>
    <w:rPr>
      <w:b/>
      <w:sz w:val="28"/>
    </w:rPr>
  </w:style>
  <w:style w:type="paragraph" w:styleId="2">
    <w:name w:val="heading 2"/>
    <w:basedOn w:val="a"/>
    <w:next w:val="a"/>
    <w:link w:val="20"/>
    <w:uiPriority w:val="99"/>
    <w:qFormat/>
    <w:pPr>
      <w:keepNext/>
      <w:spacing w:before="240" w:after="60"/>
      <w:outlineLvl w:val="1"/>
    </w:pPr>
    <w:rPr>
      <w:rFonts w:ascii="Calibri Light" w:hAnsi="Calibri Light"/>
      <w:b/>
      <w:bCs/>
      <w:i/>
      <w:iCs/>
      <w:sz w:val="28"/>
      <w:szCs w:val="28"/>
      <w:lang w:val="ru-RU"/>
    </w:rPr>
  </w:style>
  <w:style w:type="paragraph" w:styleId="3">
    <w:name w:val="heading 3"/>
    <w:basedOn w:val="a"/>
    <w:next w:val="a"/>
    <w:link w:val="30"/>
    <w:uiPriority w:val="99"/>
    <w:qFormat/>
    <w:pPr>
      <w:keepNext/>
      <w:jc w:val="center"/>
      <w:outlineLvl w:val="2"/>
    </w:pPr>
    <w:rPr>
      <w:b/>
      <w:sz w:val="28"/>
    </w:rPr>
  </w:style>
  <w:style w:type="paragraph" w:styleId="4">
    <w:name w:val="heading 4"/>
    <w:basedOn w:val="a"/>
    <w:next w:val="a"/>
    <w:link w:val="40"/>
    <w:uiPriority w:val="99"/>
    <w:qFormat/>
    <w:pPr>
      <w:keepNext/>
      <w:spacing w:before="240" w:after="60"/>
      <w:outlineLvl w:val="3"/>
    </w:pPr>
    <w:rPr>
      <w:rFonts w:ascii="Calibri" w:hAnsi="Calibri"/>
      <w:b/>
      <w:bCs/>
      <w:sz w:val="28"/>
      <w:szCs w:val="28"/>
      <w:lang w:val="ru-RU"/>
    </w:rPr>
  </w:style>
  <w:style w:type="paragraph" w:styleId="5">
    <w:name w:val="heading 5"/>
    <w:basedOn w:val="a"/>
    <w:next w:val="a"/>
    <w:link w:val="50"/>
    <w:uiPriority w:val="99"/>
    <w:qFormat/>
    <w:rsid w:val="006F7039"/>
    <w:pPr>
      <w:keepNext/>
      <w:keepLines/>
      <w:spacing w:before="220" w:after="40"/>
      <w:outlineLvl w:val="4"/>
    </w:pPr>
    <w:rPr>
      <w:b/>
      <w:sz w:val="22"/>
      <w:szCs w:val="22"/>
    </w:rPr>
  </w:style>
  <w:style w:type="paragraph" w:styleId="6">
    <w:name w:val="heading 6"/>
    <w:basedOn w:val="a"/>
    <w:next w:val="a"/>
    <w:link w:val="60"/>
    <w:uiPriority w:val="99"/>
    <w:qFormat/>
    <w:rsid w:val="006F7039"/>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2C19"/>
    <w:rPr>
      <w:rFonts w:asciiTheme="majorHAnsi" w:eastAsiaTheme="majorEastAsia" w:hAnsiTheme="majorHAnsi" w:cstheme="majorBidi"/>
      <w:b/>
      <w:bCs/>
      <w:kern w:val="32"/>
      <w:sz w:val="32"/>
      <w:szCs w:val="32"/>
      <w:lang w:val="uk-UA"/>
    </w:rPr>
  </w:style>
  <w:style w:type="character" w:customStyle="1" w:styleId="20">
    <w:name w:val="Заголовок 2 Знак"/>
    <w:basedOn w:val="a0"/>
    <w:link w:val="2"/>
    <w:uiPriority w:val="99"/>
    <w:semiHidden/>
    <w:locked/>
    <w:rPr>
      <w:rFonts w:ascii="Calibri Light" w:hAnsi="Calibri Light"/>
      <w:b/>
      <w:i/>
      <w:sz w:val="28"/>
      <w:lang w:eastAsia="ru-RU"/>
    </w:rPr>
  </w:style>
  <w:style w:type="character" w:customStyle="1" w:styleId="30">
    <w:name w:val="Заголовок 3 Знак"/>
    <w:basedOn w:val="a0"/>
    <w:link w:val="3"/>
    <w:uiPriority w:val="9"/>
    <w:semiHidden/>
    <w:rsid w:val="00B62C19"/>
    <w:rPr>
      <w:rFonts w:asciiTheme="majorHAnsi" w:eastAsiaTheme="majorEastAsia" w:hAnsiTheme="majorHAnsi" w:cstheme="majorBidi"/>
      <w:b/>
      <w:bCs/>
      <w:sz w:val="26"/>
      <w:szCs w:val="26"/>
      <w:lang w:val="uk-UA"/>
    </w:rPr>
  </w:style>
  <w:style w:type="character" w:customStyle="1" w:styleId="40">
    <w:name w:val="Заголовок 4 Знак"/>
    <w:basedOn w:val="a0"/>
    <w:link w:val="4"/>
    <w:uiPriority w:val="99"/>
    <w:semiHidden/>
    <w:locked/>
    <w:rPr>
      <w:rFonts w:ascii="Calibri" w:hAnsi="Calibri"/>
      <w:b/>
      <w:sz w:val="28"/>
      <w:lang w:eastAsia="ru-RU"/>
    </w:rPr>
  </w:style>
  <w:style w:type="character" w:customStyle="1" w:styleId="50">
    <w:name w:val="Заголовок 5 Знак"/>
    <w:basedOn w:val="a0"/>
    <w:link w:val="5"/>
    <w:uiPriority w:val="9"/>
    <w:semiHidden/>
    <w:rsid w:val="00B62C19"/>
    <w:rPr>
      <w:rFonts w:asciiTheme="minorHAnsi" w:eastAsiaTheme="minorEastAsia" w:hAnsiTheme="minorHAnsi" w:cstheme="minorBidi"/>
      <w:b/>
      <w:bCs/>
      <w:i/>
      <w:iCs/>
      <w:sz w:val="26"/>
      <w:szCs w:val="26"/>
      <w:lang w:val="uk-UA"/>
    </w:rPr>
  </w:style>
  <w:style w:type="character" w:customStyle="1" w:styleId="60">
    <w:name w:val="Заголовок 6 Знак"/>
    <w:basedOn w:val="a0"/>
    <w:link w:val="6"/>
    <w:uiPriority w:val="9"/>
    <w:semiHidden/>
    <w:rsid w:val="00B62C19"/>
    <w:rPr>
      <w:rFonts w:asciiTheme="minorHAnsi" w:eastAsiaTheme="minorEastAsia" w:hAnsiTheme="minorHAnsi" w:cstheme="minorBidi"/>
      <w:b/>
      <w:bCs/>
      <w:lang w:val="uk-UA"/>
    </w:rPr>
  </w:style>
  <w:style w:type="table" w:customStyle="1" w:styleId="TableNormal1">
    <w:name w:val="Table Normal1"/>
    <w:uiPriority w:val="99"/>
    <w:rsid w:val="006F7039"/>
    <w:rPr>
      <w:sz w:val="20"/>
      <w:szCs w:val="20"/>
      <w:lang w:val="uk-UA" w:eastAsia="uk-UA"/>
    </w:rPr>
    <w:tblPr>
      <w:tblCellMar>
        <w:top w:w="0" w:type="dxa"/>
        <w:left w:w="0" w:type="dxa"/>
        <w:bottom w:w="0" w:type="dxa"/>
        <w:right w:w="0" w:type="dxa"/>
      </w:tblCellMar>
    </w:tblPr>
  </w:style>
  <w:style w:type="paragraph" w:styleId="a3">
    <w:name w:val="Title"/>
    <w:basedOn w:val="a"/>
    <w:link w:val="a4"/>
    <w:uiPriority w:val="99"/>
    <w:qFormat/>
    <w:pPr>
      <w:jc w:val="center"/>
    </w:pPr>
    <w:rPr>
      <w:sz w:val="28"/>
    </w:rPr>
  </w:style>
  <w:style w:type="character" w:customStyle="1" w:styleId="a4">
    <w:name w:val="Заголовок Знак"/>
    <w:basedOn w:val="a0"/>
    <w:link w:val="a3"/>
    <w:uiPriority w:val="10"/>
    <w:rsid w:val="00B62C19"/>
    <w:rPr>
      <w:rFonts w:asciiTheme="majorHAnsi" w:eastAsiaTheme="majorEastAsia" w:hAnsiTheme="majorHAnsi" w:cstheme="majorBidi"/>
      <w:b/>
      <w:bCs/>
      <w:kern w:val="28"/>
      <w:sz w:val="32"/>
      <w:szCs w:val="32"/>
      <w:lang w:val="uk-UA"/>
    </w:rPr>
  </w:style>
  <w:style w:type="paragraph" w:styleId="a5">
    <w:name w:val="Body Text Indent"/>
    <w:basedOn w:val="a"/>
    <w:link w:val="a6"/>
    <w:uiPriority w:val="99"/>
    <w:pPr>
      <w:ind w:firstLine="1134"/>
      <w:jc w:val="both"/>
    </w:pPr>
    <w:rPr>
      <w:sz w:val="28"/>
    </w:rPr>
  </w:style>
  <w:style w:type="character" w:customStyle="1" w:styleId="a6">
    <w:name w:val="Основной текст с отступом Знак"/>
    <w:basedOn w:val="a0"/>
    <w:link w:val="a5"/>
    <w:uiPriority w:val="99"/>
    <w:semiHidden/>
    <w:rsid w:val="00B62C19"/>
    <w:rPr>
      <w:sz w:val="20"/>
      <w:szCs w:val="20"/>
      <w:lang w:val="uk-UA"/>
    </w:rPr>
  </w:style>
  <w:style w:type="paragraph" w:customStyle="1" w:styleId="a7">
    <w:name w:val="Абзац списку"/>
    <w:basedOn w:val="a"/>
    <w:uiPriority w:val="99"/>
    <w:pPr>
      <w:spacing w:after="160" w:line="259" w:lineRule="auto"/>
      <w:ind w:left="720"/>
      <w:contextualSpacing/>
    </w:pPr>
    <w:rPr>
      <w:sz w:val="28"/>
      <w:szCs w:val="22"/>
      <w:lang w:val="en-US" w:eastAsia="en-US"/>
    </w:rPr>
  </w:style>
  <w:style w:type="paragraph" w:styleId="a8">
    <w:name w:val="Balloon Text"/>
    <w:basedOn w:val="a"/>
    <w:link w:val="a9"/>
    <w:uiPriority w:val="99"/>
    <w:rPr>
      <w:rFonts w:ascii="Segoe UI" w:hAnsi="Segoe UI"/>
      <w:sz w:val="18"/>
      <w:szCs w:val="18"/>
      <w:lang w:val="ru-RU"/>
    </w:rPr>
  </w:style>
  <w:style w:type="character" w:customStyle="1" w:styleId="a9">
    <w:name w:val="Текст выноски Знак"/>
    <w:basedOn w:val="a0"/>
    <w:link w:val="a8"/>
    <w:uiPriority w:val="99"/>
    <w:locked/>
    <w:rPr>
      <w:rFonts w:ascii="Segoe UI" w:hAnsi="Segoe UI"/>
      <w:sz w:val="18"/>
      <w:lang w:eastAsia="ru-RU"/>
    </w:rPr>
  </w:style>
  <w:style w:type="paragraph" w:styleId="aa">
    <w:name w:val="Normal (Web)"/>
    <w:basedOn w:val="a"/>
    <w:uiPriority w:val="99"/>
    <w:rPr>
      <w:sz w:val="24"/>
      <w:szCs w:val="24"/>
    </w:rPr>
  </w:style>
  <w:style w:type="character" w:customStyle="1" w:styleId="docdata">
    <w:name w:val="docdata"/>
    <w:aliases w:val="docy,v5,2660,baiaagaaboqcaaadaquaaav3bqaaaaaaaaaaaaaaaaaaaaaaaaaaaaaaaaaaaaaaaaaaaaaaaaaaaaaaaaaaaaaaaaaaaaaaaaaaaaaaaaaaaaaaaaaaaaaaaaaaaaaaaaaaaaaaaaaaaaaaaaaaaaaaaaaaaaaaaaaaaaaaaaaaaaaaaaaaaaaaaaaaaaaaaaaaaaaaaaaaaaaaaaaaaaaaaaaaaaaaaaaaaaa"/>
    <w:basedOn w:val="a0"/>
    <w:uiPriority w:val="99"/>
    <w:rPr>
      <w:rFonts w:cs="Times New Roman"/>
    </w:rPr>
  </w:style>
  <w:style w:type="paragraph" w:styleId="ab">
    <w:name w:val="List Paragraph"/>
    <w:basedOn w:val="a"/>
    <w:uiPriority w:val="99"/>
    <w:qFormat/>
    <w:pPr>
      <w:ind w:left="720"/>
      <w:contextualSpacing/>
    </w:pPr>
  </w:style>
  <w:style w:type="paragraph" w:styleId="ac">
    <w:name w:val="header"/>
    <w:basedOn w:val="a"/>
    <w:link w:val="ad"/>
    <w:uiPriority w:val="99"/>
    <w:pPr>
      <w:tabs>
        <w:tab w:val="center" w:pos="4819"/>
        <w:tab w:val="right" w:pos="9639"/>
      </w:tabs>
    </w:pPr>
  </w:style>
  <w:style w:type="character" w:customStyle="1" w:styleId="ad">
    <w:name w:val="Верхний колонтитул Знак"/>
    <w:basedOn w:val="a0"/>
    <w:link w:val="ac"/>
    <w:uiPriority w:val="99"/>
    <w:locked/>
    <w:rPr>
      <w:rFonts w:cs="Times New Roman"/>
      <w:lang w:eastAsia="ru-RU"/>
    </w:rPr>
  </w:style>
  <w:style w:type="paragraph" w:styleId="ae">
    <w:name w:val="footer"/>
    <w:basedOn w:val="a"/>
    <w:link w:val="af"/>
    <w:uiPriority w:val="99"/>
    <w:pPr>
      <w:tabs>
        <w:tab w:val="center" w:pos="4819"/>
        <w:tab w:val="right" w:pos="9639"/>
      </w:tabs>
    </w:pPr>
  </w:style>
  <w:style w:type="character" w:customStyle="1" w:styleId="af">
    <w:name w:val="Нижний колонтитул Знак"/>
    <w:basedOn w:val="a0"/>
    <w:link w:val="ae"/>
    <w:uiPriority w:val="99"/>
    <w:locked/>
    <w:rPr>
      <w:rFonts w:cs="Times New Roman"/>
      <w:lang w:eastAsia="ru-RU"/>
    </w:rPr>
  </w:style>
  <w:style w:type="paragraph" w:styleId="af0">
    <w:name w:val="Subtitle"/>
    <w:basedOn w:val="a"/>
    <w:next w:val="a"/>
    <w:link w:val="af1"/>
    <w:uiPriority w:val="99"/>
    <w:qFormat/>
    <w:rsid w:val="006F7039"/>
    <w:pPr>
      <w:keepNext/>
      <w:keepLines/>
      <w:spacing w:before="360" w:after="80"/>
    </w:pPr>
    <w:rPr>
      <w:rFonts w:ascii="Georgia" w:hAnsi="Georgia" w:cs="Georgia"/>
      <w:i/>
      <w:color w:val="666666"/>
      <w:sz w:val="48"/>
      <w:szCs w:val="48"/>
    </w:rPr>
  </w:style>
  <w:style w:type="character" w:customStyle="1" w:styleId="af1">
    <w:name w:val="Подзаголовок Знак"/>
    <w:basedOn w:val="a0"/>
    <w:link w:val="af0"/>
    <w:uiPriority w:val="11"/>
    <w:rsid w:val="00B62C19"/>
    <w:rPr>
      <w:rFonts w:asciiTheme="majorHAnsi" w:eastAsiaTheme="majorEastAsia" w:hAnsiTheme="majorHAnsi" w:cstheme="majorBidi"/>
      <w:sz w:val="24"/>
      <w:szCs w:val="24"/>
      <w:lang w:val="uk-UA"/>
    </w:rPr>
  </w:style>
  <w:style w:type="table" w:customStyle="1" w:styleId="af2">
    <w:name w:val="Стиль"/>
    <w:basedOn w:val="TableNormal1"/>
    <w:uiPriority w:val="99"/>
    <w:rsid w:val="006F7039"/>
    <w:tblPr>
      <w:tblStyleRowBandSize w:val="1"/>
      <w:tblStyleColBandSize w:val="1"/>
      <w:tblCellMar>
        <w:left w:w="115" w:type="dxa"/>
        <w:right w:w="115" w:type="dxa"/>
      </w:tblCellMar>
    </w:tblPr>
  </w:style>
  <w:style w:type="table" w:customStyle="1" w:styleId="21">
    <w:name w:val="Стиль2"/>
    <w:basedOn w:val="TableNormal1"/>
    <w:uiPriority w:val="99"/>
    <w:rsid w:val="006F7039"/>
    <w:tblPr>
      <w:tblStyleRowBandSize w:val="1"/>
      <w:tblStyleColBandSize w:val="1"/>
      <w:tblCellMar>
        <w:left w:w="115" w:type="dxa"/>
        <w:right w:w="115" w:type="dxa"/>
      </w:tblCellMar>
    </w:tblPr>
  </w:style>
  <w:style w:type="table" w:customStyle="1" w:styleId="11">
    <w:name w:val="Стиль1"/>
    <w:basedOn w:val="TableNormal1"/>
    <w:uiPriority w:val="99"/>
    <w:rsid w:val="006F7039"/>
    <w:tblPr>
      <w:tblStyleRowBandSize w:val="1"/>
      <w:tblStyleColBandSize w:val="1"/>
      <w:tblCellMar>
        <w:left w:w="115" w:type="dxa"/>
        <w:right w:w="115" w:type="dxa"/>
      </w:tblCellMar>
    </w:tblPr>
  </w:style>
  <w:style w:type="paragraph" w:styleId="af3">
    <w:name w:val="annotation text"/>
    <w:basedOn w:val="a"/>
    <w:link w:val="af4"/>
    <w:uiPriority w:val="99"/>
    <w:semiHidden/>
    <w:rsid w:val="006F7039"/>
  </w:style>
  <w:style w:type="character" w:customStyle="1" w:styleId="af4">
    <w:name w:val="Текст примечания Знак"/>
    <w:basedOn w:val="a0"/>
    <w:link w:val="af3"/>
    <w:uiPriority w:val="99"/>
    <w:semiHidden/>
    <w:locked/>
    <w:rsid w:val="006F7039"/>
    <w:rPr>
      <w:rFonts w:cs="Times New Roman"/>
      <w:lang w:eastAsia="ru-RU"/>
    </w:rPr>
  </w:style>
  <w:style w:type="character" w:styleId="af5">
    <w:name w:val="annotation reference"/>
    <w:basedOn w:val="a0"/>
    <w:uiPriority w:val="99"/>
    <w:semiHidden/>
    <w:rsid w:val="006F7039"/>
    <w:rPr>
      <w:rFonts w:cs="Times New Roman"/>
      <w:sz w:val="16"/>
      <w:szCs w:val="16"/>
    </w:rPr>
  </w:style>
  <w:style w:type="character" w:customStyle="1" w:styleId="FontStyle16">
    <w:name w:val="Font Style16"/>
    <w:uiPriority w:val="99"/>
    <w:rsid w:val="00401832"/>
    <w:rPr>
      <w:rFonts w:ascii="Times New Roman" w:hAnsi="Times New Roman"/>
      <w:sz w:val="22"/>
    </w:rPr>
  </w:style>
  <w:style w:type="paragraph" w:customStyle="1" w:styleId="Style4">
    <w:name w:val="Style4"/>
    <w:basedOn w:val="a"/>
    <w:uiPriority w:val="99"/>
    <w:rsid w:val="00401832"/>
    <w:pPr>
      <w:widowControl w:val="0"/>
      <w:suppressAutoHyphens/>
      <w:autoSpaceDE w:val="0"/>
    </w:pPr>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3684</Words>
  <Characters>2101</Characters>
  <Application>Microsoft Office Word</Application>
  <DocSecurity>0</DocSecurity>
  <Lines>17</Lines>
  <Paragraphs>11</Paragraphs>
  <ScaleCrop>false</ScaleCrop>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DATSIUK</cp:lastModifiedBy>
  <cp:revision>10</cp:revision>
  <cp:lastPrinted>2024-12-10T09:06:00Z</cp:lastPrinted>
  <dcterms:created xsi:type="dcterms:W3CDTF">2024-05-08T06:09:00Z</dcterms:created>
  <dcterms:modified xsi:type="dcterms:W3CDTF">2024-12-10T20:11:00Z</dcterms:modified>
</cp:coreProperties>
</file>