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33193" w14:textId="142CF990" w:rsidR="00C41605" w:rsidRDefault="00C41605" w:rsidP="00C41605">
      <w:pPr>
        <w:rPr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          </w:t>
      </w:r>
      <w:r>
        <w:rPr>
          <w:sz w:val="28"/>
          <w:szCs w:val="28"/>
        </w:rPr>
        <w:t>ЗАТВЕРДЖЕНО</w:t>
      </w:r>
    </w:p>
    <w:p w14:paraId="00000002" w14:textId="78C3DC31" w:rsidR="00571E92" w:rsidRDefault="00C41605">
      <w:pPr>
        <w:ind w:firstLine="5387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14:paraId="00000003" w14:textId="77777777" w:rsidR="00571E92" w:rsidRDefault="00C41605">
      <w:pPr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Здолбунівської міської ради </w:t>
      </w:r>
    </w:p>
    <w:p w14:paraId="00000004" w14:textId="77777777" w:rsidR="00571E92" w:rsidRDefault="00C41605">
      <w:pPr>
        <w:ind w:firstLine="5387"/>
        <w:rPr>
          <w:sz w:val="28"/>
          <w:szCs w:val="28"/>
        </w:rPr>
      </w:pPr>
      <w:r>
        <w:rPr>
          <w:sz w:val="28"/>
          <w:szCs w:val="28"/>
        </w:rPr>
        <w:t>29.08.2025 №___</w:t>
      </w:r>
    </w:p>
    <w:p w14:paraId="00000005" w14:textId="77777777" w:rsidR="00571E92" w:rsidRDefault="00571E92">
      <w:pPr>
        <w:ind w:firstLine="5387"/>
        <w:rPr>
          <w:sz w:val="28"/>
          <w:szCs w:val="28"/>
        </w:rPr>
      </w:pPr>
    </w:p>
    <w:p w14:paraId="00000006" w14:textId="77777777" w:rsidR="00571E92" w:rsidRDefault="00C41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Середньостроковий план пріоритетних публічних</w:t>
      </w:r>
    </w:p>
    <w:p w14:paraId="00000007" w14:textId="77777777" w:rsidR="00571E92" w:rsidRDefault="00C41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інвестицій Здолбунівської міської територіальної</w:t>
      </w:r>
    </w:p>
    <w:p w14:paraId="00000008" w14:textId="77777777" w:rsidR="00571E92" w:rsidRDefault="00C41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громади на 2026 - 2028 роки</w:t>
      </w:r>
    </w:p>
    <w:p w14:paraId="00000009" w14:textId="77777777" w:rsidR="00571E92" w:rsidRDefault="00571E92">
      <w:pPr>
        <w:rPr>
          <w:sz w:val="28"/>
          <w:szCs w:val="28"/>
        </w:rPr>
      </w:pPr>
    </w:p>
    <w:p w14:paraId="0000000A" w14:textId="77777777" w:rsidR="00571E92" w:rsidRDefault="00C41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Загальна частина</w:t>
      </w:r>
    </w:p>
    <w:p w14:paraId="0000000B" w14:textId="77777777" w:rsidR="00571E92" w:rsidRDefault="00571E92">
      <w:pPr>
        <w:jc w:val="both"/>
        <w:rPr>
          <w:sz w:val="28"/>
          <w:szCs w:val="28"/>
        </w:rPr>
      </w:pPr>
    </w:p>
    <w:p w14:paraId="0000000C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Середньостроковий  план  пріоритетних  публічних  інвестицій Здолбунівської міської територіальної громади (далі-середньостроковий  план)  розроблено  відповідно  до  абзацу  другого  частини третьої  статті  33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Бюджетного  кодексу  України  та  Порядку  </w:t>
      </w:r>
      <w:r>
        <w:rPr>
          <w:sz w:val="28"/>
          <w:szCs w:val="28"/>
        </w:rPr>
        <w:t>розроблення  та моніторингу  реалізації  середньострокового  плану  пріоритетних  публічних інвестицій держави, затвердженого постановою Кабінету Міністрів України від 28 лютого 2025 року № 294.</w:t>
      </w:r>
    </w:p>
    <w:p w14:paraId="0000000D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Середньостроковий план розробляється на плановий і наступні з</w:t>
      </w:r>
      <w:r>
        <w:rPr>
          <w:sz w:val="28"/>
          <w:szCs w:val="28"/>
          <w:highlight w:val="white"/>
        </w:rPr>
        <w:t>а плановим два бюджетних періоди щороку під час складання Бюджетної декларації.</w:t>
      </w:r>
    </w:p>
    <w:p w14:paraId="0000000E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Середньостроковий план формує основу для побудови ефективної та дієвої системи  управління  публічними  інвестиціями,  що  забезпечує  оптимізацію використання  бюджетних  ресу</w:t>
      </w:r>
      <w:r>
        <w:rPr>
          <w:sz w:val="28"/>
          <w:szCs w:val="28"/>
        </w:rPr>
        <w:t>рсів всіх рівнів,  підвищення  прозорості  у  використанні публічних  коштів  та  інтеграцію  публічних  інвестицій  у  загальний  процес стратегічного  планування,  а  також  дозволяє  зосередити  ресурси  на  найбільш важливих для суспільства публічних і</w:t>
      </w:r>
      <w:r>
        <w:rPr>
          <w:sz w:val="28"/>
          <w:szCs w:val="28"/>
        </w:rPr>
        <w:t xml:space="preserve">нвестиційних проектах (далі-проект) та/або програмах публічних інвестицій (далі - програма). </w:t>
      </w:r>
    </w:p>
    <w:p w14:paraId="0000000F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Середньостроковий план визначає:</w:t>
      </w:r>
    </w:p>
    <w:p w14:paraId="00000010" w14:textId="77777777" w:rsidR="00571E92" w:rsidRDefault="00C416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наскрізні стратегічні цілі здійснення публічних інвестицій;</w:t>
      </w:r>
    </w:p>
    <w:p w14:paraId="00000011" w14:textId="77777777" w:rsidR="00571E92" w:rsidRDefault="00C416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пріоритетні галузі для публічного інвестування громади; </w:t>
      </w:r>
    </w:p>
    <w:p w14:paraId="00000012" w14:textId="77777777" w:rsidR="00571E92" w:rsidRDefault="00C416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осн</w:t>
      </w:r>
      <w:r>
        <w:rPr>
          <w:sz w:val="28"/>
          <w:szCs w:val="28"/>
        </w:rPr>
        <w:t xml:space="preserve">овні  напрями </w:t>
      </w:r>
      <w:r>
        <w:t>(сектори)</w:t>
      </w:r>
      <w:r>
        <w:rPr>
          <w:sz w:val="28"/>
          <w:szCs w:val="28"/>
        </w:rPr>
        <w:t xml:space="preserve"> публічного  інвестування;</w:t>
      </w:r>
    </w:p>
    <w:p w14:paraId="00000013" w14:textId="77777777" w:rsidR="00571E92" w:rsidRDefault="00C416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підсектори галузей громади для публічного інвестування;</w:t>
      </w:r>
    </w:p>
    <w:p w14:paraId="00000014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Сфера  дії  середньострокового  плану  включає  публічні  інвестиції,  що спрямовані  на  реалізацію  проектів  та  програм.  Водночас  не  охоплює</w:t>
      </w:r>
      <w:r>
        <w:rPr>
          <w:sz w:val="28"/>
          <w:szCs w:val="28"/>
        </w:rPr>
        <w:t xml:space="preserve"> компенсації  за  пошкодження  та  знищення  окремих  категорій  об’єктів нерухомого  майна  внаслідок  бойових  дій,  терористичних  актів,  диверсій, спричинених  збройною  агресією  російської  федерації  проти  України,  а  також гранти, програми підтр</w:t>
      </w:r>
      <w:r>
        <w:rPr>
          <w:sz w:val="28"/>
          <w:szCs w:val="28"/>
        </w:rPr>
        <w:t>имки бізнесу, фінансування від міжнародних фінансових організацій  для  приватного  сектора  та  інші  інструменти  і  форми  підтримки бізнесу та громадян, які не є публічними інвестиціями у розумінні Бюджетного кодексу України.</w:t>
      </w:r>
    </w:p>
    <w:p w14:paraId="00000015" w14:textId="77777777" w:rsidR="00571E92" w:rsidRDefault="00571E92">
      <w:pPr>
        <w:jc w:val="both"/>
        <w:rPr>
          <w:sz w:val="28"/>
          <w:szCs w:val="28"/>
        </w:rPr>
      </w:pPr>
    </w:p>
    <w:p w14:paraId="00000016" w14:textId="77777777" w:rsidR="00571E92" w:rsidRDefault="00571E92">
      <w:pPr>
        <w:jc w:val="both"/>
        <w:rPr>
          <w:sz w:val="28"/>
          <w:szCs w:val="28"/>
        </w:rPr>
      </w:pPr>
    </w:p>
    <w:p w14:paraId="00000017" w14:textId="77777777" w:rsidR="00571E92" w:rsidRDefault="00C41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Описова частина</w:t>
      </w:r>
    </w:p>
    <w:p w14:paraId="00000018" w14:textId="77777777" w:rsidR="00571E92" w:rsidRDefault="00571E92">
      <w:pPr>
        <w:jc w:val="center"/>
        <w:rPr>
          <w:b/>
          <w:sz w:val="28"/>
          <w:szCs w:val="28"/>
        </w:rPr>
      </w:pPr>
    </w:p>
    <w:p w14:paraId="00000019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Середньостроковий план розроблено відділом економічного розвитку та регуляторної політики Здолбунівської міської ради на підставі наданих пропозицій головних розпорядників бюджетних коштів  відповідно  до  цілей  і  завдань,  визначених  документами страте</w:t>
      </w:r>
      <w:r>
        <w:rPr>
          <w:sz w:val="28"/>
          <w:szCs w:val="28"/>
        </w:rPr>
        <w:t>гічного планування,  у межах орієнтовного граничного сукупного обсягу  публічних інвестицій на середньостроковий період, доведеного фінансовим управлінням Здолбунівської міської ради.</w:t>
      </w:r>
    </w:p>
    <w:p w14:paraId="0000001A" w14:textId="77777777" w:rsidR="00571E92" w:rsidRDefault="00571E92">
      <w:pPr>
        <w:jc w:val="both"/>
        <w:rPr>
          <w:sz w:val="28"/>
          <w:szCs w:val="28"/>
        </w:rPr>
      </w:pPr>
      <w:bookmarkStart w:id="0" w:name="_GoBack"/>
      <w:bookmarkEnd w:id="0"/>
    </w:p>
    <w:p w14:paraId="0000001B" w14:textId="77777777" w:rsidR="00571E92" w:rsidRDefault="00C41605">
      <w:pPr>
        <w:tabs>
          <w:tab w:val="left" w:pos="75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Наскрізні стратегічні цілі здійснення публічних інвестицій</w:t>
      </w:r>
    </w:p>
    <w:p w14:paraId="0000001C" w14:textId="77777777" w:rsidR="00571E92" w:rsidRDefault="00571E92">
      <w:pPr>
        <w:tabs>
          <w:tab w:val="left" w:pos="7500"/>
        </w:tabs>
        <w:jc w:val="both"/>
        <w:rPr>
          <w:sz w:val="28"/>
          <w:szCs w:val="28"/>
        </w:rPr>
      </w:pPr>
    </w:p>
    <w:p w14:paraId="0000001D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Наскрізними</w:t>
      </w:r>
      <w:r>
        <w:rPr>
          <w:sz w:val="28"/>
          <w:szCs w:val="28"/>
        </w:rPr>
        <w:t xml:space="preserve"> стратегічними цілями здійснення публічних інвестицій (далі -наскрізні  стратегічні  цілі)  є  цілі,  що  мають  міжгалузевий  (міжсекторальний) характер,  відповідають  національним  або  глобальним  пріоритетам  розвитку, для  досягнення  яких  об’єднуют</w:t>
      </w:r>
      <w:r>
        <w:rPr>
          <w:sz w:val="28"/>
          <w:szCs w:val="28"/>
        </w:rPr>
        <w:t>ь  зусилля  органи  влади  та  фізичні  і  юридичні особи,  громадські  об’єднання,  інші  суб’єкти,  які  можуть  вплинути  на  процес досягнення цілей та/або на яких можуть вплинути їх результати.</w:t>
      </w:r>
    </w:p>
    <w:p w14:paraId="0000001E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 2026-2028  роки відповідно до затвердженого Середньос</w:t>
      </w:r>
      <w:r>
        <w:rPr>
          <w:sz w:val="28"/>
          <w:szCs w:val="28"/>
        </w:rPr>
        <w:t>трокового плану пріоритетних публічних інвестицій держави на 2026-2028 роки наскрізними  стратегічними  цілями  визначено енергоефективність,  реагування  на  зміни  клімату,  гендерна  рівність  та безбар’єрність.</w:t>
      </w:r>
    </w:p>
    <w:p w14:paraId="0000001F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Наскрізні стратегічні цілі мають ключове </w:t>
      </w:r>
      <w:r>
        <w:rPr>
          <w:sz w:val="28"/>
          <w:szCs w:val="28"/>
        </w:rPr>
        <w:t>значення для досягнення сталого розвитку  та  соціальної  справедливості  в  Україні.  Їх  реалізація  передбачає раціональне  використання  енергоресурсів,  впровадження  енергоефективних технологій,  адаптацію  інфраструктури  до  нових  викликів  та  за</w:t>
      </w:r>
      <w:r>
        <w:rPr>
          <w:sz w:val="28"/>
          <w:szCs w:val="28"/>
        </w:rPr>
        <w:t xml:space="preserve">хисту навколишнього  природного  середовища,  врахування  принципів  рівності, безбарєрності,  доступності  для  всіх  категорій  населення,  включаючи  осіб  з інвалідністю,  осіб  з  різними  функціональними  порушеннями,  а  також  людей похилого віку, </w:t>
      </w:r>
      <w:r>
        <w:rPr>
          <w:sz w:val="28"/>
          <w:szCs w:val="28"/>
        </w:rPr>
        <w:t>незалежно від їх статі та соціального статусу.</w:t>
      </w:r>
    </w:p>
    <w:p w14:paraId="00000020" w14:textId="77777777" w:rsidR="00571E92" w:rsidRDefault="00571E92">
      <w:pPr>
        <w:jc w:val="both"/>
        <w:rPr>
          <w:sz w:val="28"/>
          <w:szCs w:val="28"/>
        </w:rPr>
      </w:pPr>
    </w:p>
    <w:p w14:paraId="00000021" w14:textId="77777777" w:rsidR="00571E92" w:rsidRDefault="00C41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Пріоритетні галузі (сектори) для публічного інвестування громади</w:t>
      </w:r>
    </w:p>
    <w:p w14:paraId="00000022" w14:textId="77777777" w:rsidR="00571E92" w:rsidRDefault="00571E92">
      <w:pPr>
        <w:jc w:val="both"/>
        <w:rPr>
          <w:sz w:val="28"/>
          <w:szCs w:val="28"/>
        </w:rPr>
      </w:pPr>
    </w:p>
    <w:p w14:paraId="00000023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Пріоритетні галузі </w:t>
      </w:r>
      <w:r>
        <w:t>(сектори)</w:t>
      </w:r>
      <w:r>
        <w:rPr>
          <w:sz w:val="28"/>
          <w:szCs w:val="28"/>
        </w:rPr>
        <w:t xml:space="preserve"> для публічного інвестування громади, що містяться в середньостроковому  плані  є  ключовими  для  громади  та  са</w:t>
      </w:r>
      <w:r>
        <w:rPr>
          <w:sz w:val="28"/>
          <w:szCs w:val="28"/>
        </w:rPr>
        <w:t>ме  на  них спрямовувати муться публічні інвестиції на середньостроковий період.</w:t>
      </w:r>
    </w:p>
    <w:p w14:paraId="00000024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Пріоритетні галузі </w:t>
      </w:r>
      <w:r>
        <w:t>(сектори)</w:t>
      </w:r>
      <w:r>
        <w:rPr>
          <w:sz w:val="28"/>
          <w:szCs w:val="28"/>
        </w:rPr>
        <w:t xml:space="preserve"> для публічного інвестування були визначені, відібрані, та впорядковані на період дії середньострокового плану, враховуючи потреби, пріоритети  та </w:t>
      </w:r>
      <w:r>
        <w:rPr>
          <w:sz w:val="28"/>
          <w:szCs w:val="28"/>
        </w:rPr>
        <w:t xml:space="preserve"> спроможності  Здолбунівської міської територіальної громади,  а  також  вимоги  Бюджетного  кодексу України щодо спрямування не менше 70 відсотків обсягу публічних інвестицій на продовження (завершення) реалізації розпочатих проектів та програм.</w:t>
      </w:r>
    </w:p>
    <w:p w14:paraId="00000025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  пріор</w:t>
      </w:r>
      <w:r>
        <w:rPr>
          <w:sz w:val="28"/>
          <w:szCs w:val="28"/>
        </w:rPr>
        <w:t xml:space="preserve">итетних  галузей </w:t>
      </w:r>
      <w:r>
        <w:t>(сектори)</w:t>
      </w:r>
      <w:r>
        <w:rPr>
          <w:sz w:val="28"/>
          <w:szCs w:val="28"/>
        </w:rPr>
        <w:t xml:space="preserve"> для  публічного  інвестування, визначених цим планом, відносяться: </w:t>
      </w:r>
    </w:p>
    <w:p w14:paraId="00000026" w14:textId="77777777" w:rsidR="00571E92" w:rsidRDefault="00571E92">
      <w:pPr>
        <w:jc w:val="both"/>
        <w:rPr>
          <w:sz w:val="28"/>
          <w:szCs w:val="28"/>
        </w:rPr>
      </w:pPr>
    </w:p>
    <w:tbl>
      <w:tblPr>
        <w:tblStyle w:val="a9"/>
        <w:tblW w:w="9315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0"/>
        <w:gridCol w:w="4965"/>
      </w:tblGrid>
      <w:tr w:rsidR="00571E92" w14:paraId="67F89EF4" w14:textId="77777777">
        <w:trPr>
          <w:trHeight w:val="360"/>
        </w:trPr>
        <w:tc>
          <w:tcPr>
            <w:tcW w:w="4350" w:type="dxa"/>
          </w:tcPr>
          <w:p w14:paraId="00000027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(сектор) для публічного інвестування</w:t>
            </w:r>
          </w:p>
        </w:tc>
        <w:tc>
          <w:tcPr>
            <w:tcW w:w="4965" w:type="dxa"/>
          </w:tcPr>
          <w:p w14:paraId="00000028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структурного підрозділу, відповідального за галузь для публічного інвестування</w:t>
            </w:r>
          </w:p>
        </w:tc>
      </w:tr>
      <w:tr w:rsidR="00571E92" w14:paraId="47F6F4D2" w14:textId="77777777">
        <w:trPr>
          <w:trHeight w:val="345"/>
        </w:trPr>
        <w:tc>
          <w:tcPr>
            <w:tcW w:w="4350" w:type="dxa"/>
          </w:tcPr>
          <w:p w14:paraId="00000029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Муніципальна  інфраструктура  та  послуги</w:t>
            </w:r>
          </w:p>
        </w:tc>
        <w:tc>
          <w:tcPr>
            <w:tcW w:w="4965" w:type="dxa"/>
            <w:shd w:val="clear" w:color="auto" w:fill="auto"/>
          </w:tcPr>
          <w:p w14:paraId="0000002A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відділ з питань комунального господарства, благоустрою та екології Здолбунівської міської ради</w:t>
            </w:r>
          </w:p>
        </w:tc>
      </w:tr>
      <w:tr w:rsidR="00571E92" w14:paraId="681AF1A1" w14:textId="77777777">
        <w:trPr>
          <w:trHeight w:val="165"/>
        </w:trPr>
        <w:tc>
          <w:tcPr>
            <w:tcW w:w="4350" w:type="dxa"/>
          </w:tcPr>
          <w:p w14:paraId="0000002B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Освіта</w:t>
            </w:r>
          </w:p>
        </w:tc>
        <w:tc>
          <w:tcPr>
            <w:tcW w:w="4965" w:type="dxa"/>
            <w:shd w:val="clear" w:color="auto" w:fill="auto"/>
          </w:tcPr>
          <w:p w14:paraId="0000002C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управління з гуманітарних питань Здолбунівської міської ради</w:t>
            </w:r>
          </w:p>
        </w:tc>
      </w:tr>
      <w:tr w:rsidR="00571E92" w14:paraId="6CB4A96B" w14:textId="77777777">
        <w:trPr>
          <w:trHeight w:val="195"/>
        </w:trPr>
        <w:tc>
          <w:tcPr>
            <w:tcW w:w="4350" w:type="dxa"/>
          </w:tcPr>
          <w:p w14:paraId="0000002D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Охорона здоров'я</w:t>
            </w:r>
          </w:p>
        </w:tc>
        <w:tc>
          <w:tcPr>
            <w:tcW w:w="4965" w:type="dxa"/>
            <w:shd w:val="clear" w:color="auto" w:fill="auto"/>
          </w:tcPr>
          <w:p w14:paraId="0000002E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управління з гуманітарних питань Здолбунівської міської ради</w:t>
            </w:r>
          </w:p>
        </w:tc>
      </w:tr>
      <w:tr w:rsidR="00571E92" w14:paraId="69D45858" w14:textId="77777777">
        <w:trPr>
          <w:trHeight w:val="255"/>
        </w:trPr>
        <w:tc>
          <w:tcPr>
            <w:tcW w:w="4350" w:type="dxa"/>
          </w:tcPr>
          <w:p w14:paraId="0000002F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Соціальна сфера</w:t>
            </w:r>
          </w:p>
        </w:tc>
        <w:tc>
          <w:tcPr>
            <w:tcW w:w="4965" w:type="dxa"/>
            <w:shd w:val="clear" w:color="auto" w:fill="auto"/>
          </w:tcPr>
          <w:p w14:paraId="00000030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відділ соціальних гарантій Здолбунівської міської ради</w:t>
            </w:r>
          </w:p>
        </w:tc>
      </w:tr>
      <w:tr w:rsidR="00571E92" w14:paraId="124E0628" w14:textId="77777777">
        <w:trPr>
          <w:trHeight w:val="225"/>
        </w:trPr>
        <w:tc>
          <w:tcPr>
            <w:tcW w:w="4350" w:type="dxa"/>
          </w:tcPr>
          <w:p w14:paraId="00000031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Публічні послуги і пов'язана з ними цифровізація</w:t>
            </w:r>
          </w:p>
        </w:tc>
        <w:tc>
          <w:tcPr>
            <w:tcW w:w="4965" w:type="dxa"/>
            <w:shd w:val="clear" w:color="auto" w:fill="auto"/>
          </w:tcPr>
          <w:p w14:paraId="00000032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відділ інформаційної політики, технологій та захисту інформації апарату Здолбунівської міської ради</w:t>
            </w:r>
          </w:p>
        </w:tc>
      </w:tr>
      <w:tr w:rsidR="00571E92" w14:paraId="564EEC5E" w14:textId="77777777">
        <w:trPr>
          <w:trHeight w:val="255"/>
        </w:trPr>
        <w:tc>
          <w:tcPr>
            <w:tcW w:w="4350" w:type="dxa"/>
          </w:tcPr>
          <w:p w14:paraId="00000033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Спорт та фізичне виховання</w:t>
            </w:r>
          </w:p>
        </w:tc>
        <w:tc>
          <w:tcPr>
            <w:tcW w:w="4965" w:type="dxa"/>
            <w:shd w:val="clear" w:color="auto" w:fill="auto"/>
          </w:tcPr>
          <w:p w14:paraId="00000034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управління з гуманітарних питань Здолбунівської міської ради</w:t>
            </w:r>
          </w:p>
        </w:tc>
      </w:tr>
      <w:tr w:rsidR="00571E92" w14:paraId="2CCEC910" w14:textId="77777777">
        <w:trPr>
          <w:trHeight w:val="285"/>
        </w:trPr>
        <w:tc>
          <w:tcPr>
            <w:tcW w:w="4350" w:type="dxa"/>
          </w:tcPr>
          <w:p w14:paraId="00000035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Культура та інформація</w:t>
            </w:r>
          </w:p>
        </w:tc>
        <w:tc>
          <w:tcPr>
            <w:tcW w:w="4965" w:type="dxa"/>
            <w:shd w:val="clear" w:color="auto" w:fill="auto"/>
          </w:tcPr>
          <w:p w14:paraId="00000036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управління з гуманітарних питань Здолбунівс</w:t>
            </w:r>
            <w:r>
              <w:rPr>
                <w:sz w:val="28"/>
                <w:szCs w:val="28"/>
                <w:shd w:val="clear" w:color="auto" w:fill="F8F8F8"/>
              </w:rPr>
              <w:t>ької міської ради</w:t>
            </w:r>
          </w:p>
        </w:tc>
      </w:tr>
      <w:tr w:rsidR="00571E92" w14:paraId="14042868" w14:textId="77777777">
        <w:trPr>
          <w:trHeight w:val="300"/>
        </w:trPr>
        <w:tc>
          <w:tcPr>
            <w:tcW w:w="4350" w:type="dxa"/>
          </w:tcPr>
          <w:p w14:paraId="00000037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Довкілля</w:t>
            </w:r>
          </w:p>
        </w:tc>
        <w:tc>
          <w:tcPr>
            <w:tcW w:w="4965" w:type="dxa"/>
            <w:shd w:val="clear" w:color="auto" w:fill="auto"/>
          </w:tcPr>
          <w:p w14:paraId="00000038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відділу з питань комунального господарства, благоустрою та екології Здолбунівської міської ради</w:t>
            </w:r>
          </w:p>
        </w:tc>
      </w:tr>
    </w:tbl>
    <w:p w14:paraId="00000039" w14:textId="77777777" w:rsidR="00571E92" w:rsidRDefault="00571E92">
      <w:pPr>
        <w:jc w:val="both"/>
        <w:rPr>
          <w:sz w:val="28"/>
          <w:szCs w:val="28"/>
        </w:rPr>
      </w:pPr>
    </w:p>
    <w:p w14:paraId="0000003A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метою досягнення стратегічних цілей розвитку громади та забезпечення реалізації завдань спрямованих на відновлення інфраструктури, стимулювання соціально-економічного  розвитку  і  покращення  якості  життя  громадян протягом 2026-2028 років середньостро</w:t>
      </w:r>
      <w:r>
        <w:rPr>
          <w:sz w:val="28"/>
          <w:szCs w:val="28"/>
        </w:rPr>
        <w:t>ковим планом пропонується визначити 9 ключових галузей для публічного інвестування.</w:t>
      </w:r>
    </w:p>
    <w:p w14:paraId="0000003B" w14:textId="77777777" w:rsidR="00571E92" w:rsidRDefault="00571E92">
      <w:pPr>
        <w:jc w:val="both"/>
        <w:rPr>
          <w:sz w:val="28"/>
          <w:szCs w:val="28"/>
        </w:rPr>
      </w:pPr>
    </w:p>
    <w:p w14:paraId="0000003C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Сектор  (галузь)  «Муніципальна  інфраструктура  та  послуги» спрямований  на  модернізацію  систем  водопостачання  і  водовідведення, системи теплопостачання  в місті Зд</w:t>
      </w:r>
      <w:r>
        <w:rPr>
          <w:sz w:val="28"/>
          <w:szCs w:val="28"/>
        </w:rPr>
        <w:t>олбунів,  а  також  підвищення  енергоефективності  в  громадських будівлях.  Крім  того,  публічні  інвестиції  будуть  спрямовані  на  розбудову  та відновлення муніципальної інфраструктури.</w:t>
      </w:r>
    </w:p>
    <w:p w14:paraId="0000003D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Сектор  (галузь)  «Освіта »  спрямований  на  модернізацію  зак</w:t>
      </w:r>
      <w:r>
        <w:rPr>
          <w:sz w:val="28"/>
          <w:szCs w:val="28"/>
        </w:rPr>
        <w:t>ладів освіти,  покращення  їх  інфраструктури,  забезпечення  якості,  безпеки  та доступності освіти, розбудову національної дослідницької інфраструктури для провадження наукової діяльності.</w:t>
      </w:r>
    </w:p>
    <w:p w14:paraId="0000003E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(галузь)  «Охорона здоров’я»  спрямований на розвиток медичних закладів,  зокрема  проведення капітальних ремонтів у відділеннях лікарні з метою  підвищення  якості  медичної  освіти.  Публічні  інвестиції </w:t>
      </w:r>
      <w:r>
        <w:rPr>
          <w:sz w:val="28"/>
          <w:szCs w:val="28"/>
        </w:rPr>
        <w:lastRenderedPageBreak/>
        <w:t xml:space="preserve">спрямовуватимуться  також  на  покращення  </w:t>
      </w:r>
      <w:r>
        <w:rPr>
          <w:sz w:val="28"/>
          <w:szCs w:val="28"/>
        </w:rPr>
        <w:t>доступу  до  медичних  послуг  та оснащення закладів охорони здоров'я сучасним медичним обладнанням.</w:t>
      </w:r>
    </w:p>
    <w:p w14:paraId="0000003F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(галузь) «Соціальна сфера» - складова сучасного суспільства і важлива умова його сталого розвитку. </w:t>
      </w:r>
      <w:r>
        <w:rPr>
          <w:sz w:val="28"/>
          <w:szCs w:val="28"/>
          <w:highlight w:val="white"/>
        </w:rPr>
        <w:t>Розвиток соціальної сфери є ключовим для покращен</w:t>
      </w:r>
      <w:r>
        <w:rPr>
          <w:sz w:val="28"/>
          <w:szCs w:val="28"/>
          <w:highlight w:val="white"/>
        </w:rPr>
        <w:t>ня життя в громаді.  Рівень соціальної сфери визначає якість життя та є одним з головних показників людського розвитку. Він охоплює широкий спектр послуг та заходів, спрямованих на задоволення потреб населення та забезпечення їхнього добробуту</w:t>
      </w:r>
      <w:r>
        <w:rPr>
          <w:sz w:val="28"/>
          <w:szCs w:val="28"/>
        </w:rPr>
        <w:t>. Публічні ін</w:t>
      </w:r>
      <w:r>
        <w:rPr>
          <w:sz w:val="28"/>
          <w:szCs w:val="28"/>
        </w:rPr>
        <w:t>вестиційні проекти цього сектору пов’язані із захистом вразливих верств населення, внутрішньо переміщених осіб, доступності інфраструктури і послуг для всіх категорій громадян та розширення якісних соціальних послуг.</w:t>
      </w:r>
    </w:p>
    <w:p w14:paraId="00000040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Сектор  (галузь)  «Публічні  послуги  і</w:t>
      </w:r>
      <w:r>
        <w:rPr>
          <w:sz w:val="28"/>
          <w:szCs w:val="28"/>
        </w:rPr>
        <w:t xml:space="preserve">  повʼязана  з  ними  цифровізація» спрямований  на  реалізацію  програм  інформатизації  щодо створення  та  забезпечення  розвитку  інформаційних  (автоматизованих), електронних  комунікаційних  та  інформаційно-комунікаційних  систем  для управління роз</w:t>
      </w:r>
      <w:r>
        <w:rPr>
          <w:sz w:val="28"/>
          <w:szCs w:val="28"/>
        </w:rPr>
        <w:t>витком електронного урядування, включаючи заходи із захисту інформації.</w:t>
      </w:r>
    </w:p>
    <w:p w14:paraId="00000041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(галузь) «Спорт та фізичне виховання» спрямований на створення сучасної спортивної інфраструктури, розвиток масового та дитячо-юнацького спорту, популяризацію здорового способу </w:t>
      </w:r>
      <w:r>
        <w:rPr>
          <w:sz w:val="28"/>
          <w:szCs w:val="28"/>
        </w:rPr>
        <w:t xml:space="preserve">життя, забезпечення інклюзивності та підтримку підготовки спортсменів. </w:t>
      </w:r>
    </w:p>
    <w:p w14:paraId="00000042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Сектор (Галузь) «Культура та інформація» спрямований на збереження та розвиток культурної спадщини, підтримку творчих ініціатив, розвиток культурної інфраструктури, забезпечення доступ</w:t>
      </w:r>
      <w:r>
        <w:rPr>
          <w:sz w:val="28"/>
          <w:szCs w:val="28"/>
        </w:rPr>
        <w:t>у до якісного культурного продукту, а також розбудову сучасного інформаційного простору.</w:t>
      </w:r>
    </w:p>
    <w:p w14:paraId="00000043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(галузь)  «Довкілля»  спрямований на захист від шкідливої дії вод </w:t>
      </w:r>
    </w:p>
    <w:p w14:paraId="00000044" w14:textId="77777777" w:rsidR="00571E92" w:rsidRDefault="00C41605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населених  пунктів,  сільськогосподарських  угідь, поводження  з  відходами,  створення  безп</w:t>
      </w:r>
      <w:r>
        <w:rPr>
          <w:sz w:val="28"/>
          <w:szCs w:val="28"/>
        </w:rPr>
        <w:t>ечних  умов життєдіяльності населення.</w:t>
      </w:r>
    </w:p>
    <w:p w14:paraId="00000045" w14:textId="77777777" w:rsidR="00571E92" w:rsidRDefault="00571E92">
      <w:pPr>
        <w:jc w:val="both"/>
        <w:rPr>
          <w:sz w:val="28"/>
          <w:szCs w:val="28"/>
        </w:rPr>
      </w:pPr>
    </w:p>
    <w:p w14:paraId="00000046" w14:textId="77777777" w:rsidR="00571E92" w:rsidRDefault="00C41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Підсектори галузей (секторів) для публічного інвестування</w:t>
      </w:r>
    </w:p>
    <w:p w14:paraId="00000047" w14:textId="77777777" w:rsidR="00571E92" w:rsidRDefault="00571E92">
      <w:pPr>
        <w:jc w:val="both"/>
        <w:rPr>
          <w:sz w:val="28"/>
          <w:szCs w:val="28"/>
        </w:rPr>
      </w:pPr>
    </w:p>
    <w:p w14:paraId="00000048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Підсектори  галузей  (секторів)  для  публічного  інвестування  визначають конкретні сфери діяльності, що потребують фінансування та особливої уваги з боку г</w:t>
      </w:r>
      <w:r>
        <w:rPr>
          <w:sz w:val="28"/>
          <w:szCs w:val="28"/>
        </w:rPr>
        <w:t>ромади. Їх визначення дозволяє деталізувати пріоритети та оптимізувати використання бюджетних коштів.</w:t>
      </w:r>
    </w:p>
    <w:p w14:paraId="00000049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 межах  кожної  пріоритетної  галузі  (сектора)  для  публічного інвестування  формуються  підсектори,  що  відображають  ключові  напрями </w:t>
      </w:r>
    </w:p>
    <w:p w14:paraId="0000004A" w14:textId="77777777" w:rsidR="00571E92" w:rsidRDefault="00C41605">
      <w:pPr>
        <w:jc w:val="both"/>
        <w:rPr>
          <w:sz w:val="28"/>
          <w:szCs w:val="28"/>
        </w:rPr>
      </w:pPr>
      <w:r>
        <w:rPr>
          <w:sz w:val="28"/>
          <w:szCs w:val="28"/>
        </w:rPr>
        <w:t>розвитку, як</w:t>
      </w:r>
      <w:r>
        <w:rPr>
          <w:sz w:val="28"/>
          <w:szCs w:val="28"/>
        </w:rPr>
        <w:t xml:space="preserve">і потребують публічних інвестицій. </w:t>
      </w:r>
    </w:p>
    <w:p w14:paraId="0000004B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Підсектори  є  важливими  аналітичними  одиницями,  які  сприяють реалізації   стратегії    розвитку громади та  забезпечують  впровадження інтегрованого підходу до управління публічними інвестиціями.</w:t>
      </w:r>
    </w:p>
    <w:p w14:paraId="0000004C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Перелік  підсекторів  галузей  (секторів)  для  публічного  інвестування  та основних  напрямів  для  публічного  інвестування  в  межах  таких  підсекторів наведено  у  Додатку  1  до  середньострокового  плану.  Перелік  підсекторів галузей  (секторів)  </w:t>
      </w:r>
      <w:r>
        <w:rPr>
          <w:sz w:val="28"/>
          <w:szCs w:val="28"/>
        </w:rPr>
        <w:t xml:space="preserve">для  публічного  інвестування  та  інших  напрямів  для публічного інвестування - у Додатку 2. </w:t>
      </w:r>
    </w:p>
    <w:p w14:paraId="0000004D" w14:textId="77777777" w:rsidR="00571E92" w:rsidRDefault="00571E92">
      <w:pPr>
        <w:jc w:val="both"/>
        <w:rPr>
          <w:sz w:val="28"/>
          <w:szCs w:val="28"/>
        </w:rPr>
      </w:pPr>
    </w:p>
    <w:p w14:paraId="0000004E" w14:textId="77777777" w:rsidR="00571E92" w:rsidRDefault="00C41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Основні напрями публічного інвестування</w:t>
      </w:r>
    </w:p>
    <w:p w14:paraId="0000004F" w14:textId="77777777" w:rsidR="00571E92" w:rsidRDefault="00571E92">
      <w:pPr>
        <w:jc w:val="both"/>
        <w:rPr>
          <w:sz w:val="28"/>
          <w:szCs w:val="28"/>
        </w:rPr>
      </w:pPr>
    </w:p>
    <w:p w14:paraId="00000050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Основні  напрями  публічного  інвестування  узгоджуються  із  завданнями Стратегії розвитку Здолбунівської міської тер</w:t>
      </w:r>
      <w:r>
        <w:rPr>
          <w:sz w:val="28"/>
          <w:szCs w:val="28"/>
        </w:rPr>
        <w:t>иторіальної громади до 2027 року та  Плану заходів на 2024-2027 роки з реалізації Стратегії розвитку Здолбунівської міської  територіальної громади до 2027 року затвердженої рішенням Здолбунівської міської ради від 05.06.2024 року                    № 2183</w:t>
      </w:r>
      <w:r>
        <w:rPr>
          <w:sz w:val="28"/>
          <w:szCs w:val="28"/>
        </w:rPr>
        <w:t xml:space="preserve"> та мають найвищий  рівень  пріоритетності  серед  інших  напрямів  відповідної  галузі (сектора) для отримання фінансування.</w:t>
      </w:r>
    </w:p>
    <w:p w14:paraId="00000051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Формування  основних  напрямів  публічного  інвестування  здійснювалось на  основі  пропозицій  головних розпорядників коштів та в</w:t>
      </w:r>
      <w:r>
        <w:rPr>
          <w:sz w:val="28"/>
          <w:szCs w:val="28"/>
        </w:rPr>
        <w:t>ідповідних структурних підрозділів за участю керівників підприємств, установ та організацій,  відповідальних  за  галузі (сектори)  для  публічного  інвестування,  з  урахуванням  завдань,  визначених відповідними місцевими цільовими  програмами затверджен</w:t>
      </w:r>
      <w:r>
        <w:rPr>
          <w:sz w:val="28"/>
          <w:szCs w:val="28"/>
        </w:rPr>
        <w:t>ими на 2025-2027 роки, з урахуванням Програми економічного та соціального розвитку</w:t>
      </w:r>
      <w:r>
        <w:t xml:space="preserve"> </w:t>
      </w:r>
      <w:r>
        <w:rPr>
          <w:sz w:val="28"/>
          <w:szCs w:val="28"/>
        </w:rPr>
        <w:t xml:space="preserve">Здолбунівської міської територіальної громади на 2025 - 2027 роки затвердженої рішенням Здолбунівської міської ради від 20.12.2024 року № 2499. </w:t>
      </w:r>
    </w:p>
    <w:p w14:paraId="00000052" w14:textId="77777777" w:rsidR="00571E92" w:rsidRDefault="00571E92">
      <w:pPr>
        <w:jc w:val="both"/>
        <w:rPr>
          <w:sz w:val="28"/>
          <w:szCs w:val="28"/>
        </w:rPr>
      </w:pPr>
    </w:p>
    <w:p w14:paraId="00000053" w14:textId="77777777" w:rsidR="00571E92" w:rsidRDefault="00C41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Фінансова структура публічн</w:t>
      </w:r>
      <w:r>
        <w:rPr>
          <w:b/>
          <w:sz w:val="28"/>
          <w:szCs w:val="28"/>
        </w:rPr>
        <w:t>их інвестицій</w:t>
      </w:r>
    </w:p>
    <w:p w14:paraId="00000054" w14:textId="77777777" w:rsidR="00571E92" w:rsidRDefault="00571E92">
      <w:pPr>
        <w:jc w:val="both"/>
        <w:rPr>
          <w:sz w:val="28"/>
          <w:szCs w:val="28"/>
        </w:rPr>
      </w:pPr>
    </w:p>
    <w:p w14:paraId="00000055" w14:textId="77777777" w:rsidR="00571E92" w:rsidRDefault="00C416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Орієнтовний  граничний  сукупний  обсяг  публічних  інвестицій  на  2026–2028 роки в розрізі джерел фінансового забезпечення та за роками становить:</w:t>
      </w:r>
    </w:p>
    <w:p w14:paraId="00000056" w14:textId="77777777" w:rsidR="00571E92" w:rsidRDefault="00C41605">
      <w:pPr>
        <w:jc w:val="right"/>
        <w:rPr>
          <w:sz w:val="28"/>
          <w:szCs w:val="28"/>
        </w:rPr>
      </w:pPr>
      <w:r>
        <w:rPr>
          <w:sz w:val="28"/>
          <w:szCs w:val="28"/>
        </w:rPr>
        <w:t>грн.</w:t>
      </w:r>
    </w:p>
    <w:tbl>
      <w:tblPr>
        <w:tblStyle w:val="aa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815"/>
        <w:gridCol w:w="1770"/>
        <w:gridCol w:w="1725"/>
        <w:gridCol w:w="1920"/>
      </w:tblGrid>
      <w:tr w:rsidR="00571E92" w14:paraId="7E8EDD18" w14:textId="77777777">
        <w:trPr>
          <w:trHeight w:val="540"/>
        </w:trPr>
        <w:tc>
          <w:tcPr>
            <w:tcW w:w="2130" w:type="dxa"/>
          </w:tcPr>
          <w:p w14:paraId="00000057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Показник</w:t>
            </w:r>
          </w:p>
        </w:tc>
        <w:tc>
          <w:tcPr>
            <w:tcW w:w="1815" w:type="dxa"/>
          </w:tcPr>
          <w:p w14:paraId="00000058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 рік (прогноз)</w:t>
            </w:r>
          </w:p>
        </w:tc>
        <w:tc>
          <w:tcPr>
            <w:tcW w:w="1770" w:type="dxa"/>
          </w:tcPr>
          <w:p w14:paraId="00000059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 рік (прогноз)</w:t>
            </w:r>
          </w:p>
        </w:tc>
        <w:tc>
          <w:tcPr>
            <w:tcW w:w="1725" w:type="dxa"/>
          </w:tcPr>
          <w:p w14:paraId="0000005A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 рік (прогноз)</w:t>
            </w:r>
          </w:p>
        </w:tc>
        <w:tc>
          <w:tcPr>
            <w:tcW w:w="1920" w:type="dxa"/>
          </w:tcPr>
          <w:p w14:paraId="0000005B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 на 2026-2028 роки (прогноз)</w:t>
            </w:r>
          </w:p>
        </w:tc>
      </w:tr>
      <w:tr w:rsidR="00571E92" w14:paraId="49C4CE37" w14:textId="77777777">
        <w:trPr>
          <w:trHeight w:val="345"/>
        </w:trPr>
        <w:tc>
          <w:tcPr>
            <w:tcW w:w="2130" w:type="dxa"/>
          </w:tcPr>
          <w:p w14:paraId="0000005C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місцевого бюджету</w:t>
            </w:r>
          </w:p>
        </w:tc>
        <w:tc>
          <w:tcPr>
            <w:tcW w:w="1815" w:type="dxa"/>
          </w:tcPr>
          <w:p w14:paraId="0000005D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30 000 000,0</w:t>
            </w:r>
          </w:p>
        </w:tc>
        <w:tc>
          <w:tcPr>
            <w:tcW w:w="1770" w:type="dxa"/>
          </w:tcPr>
          <w:p w14:paraId="0000005E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35 000 000,0</w:t>
            </w:r>
          </w:p>
        </w:tc>
        <w:tc>
          <w:tcPr>
            <w:tcW w:w="1725" w:type="dxa"/>
          </w:tcPr>
          <w:p w14:paraId="0000005F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40 000 000,0</w:t>
            </w:r>
          </w:p>
        </w:tc>
        <w:tc>
          <w:tcPr>
            <w:tcW w:w="1920" w:type="dxa"/>
          </w:tcPr>
          <w:p w14:paraId="00000060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105 000 000,0</w:t>
            </w:r>
          </w:p>
        </w:tc>
      </w:tr>
      <w:tr w:rsidR="00571E92" w14:paraId="1E27EE6C" w14:textId="77777777">
        <w:trPr>
          <w:trHeight w:val="345"/>
        </w:trPr>
        <w:tc>
          <w:tcPr>
            <w:tcW w:w="2130" w:type="dxa"/>
          </w:tcPr>
          <w:p w14:paraId="00000061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1815" w:type="dxa"/>
          </w:tcPr>
          <w:p w14:paraId="00000062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30 000 000,0</w:t>
            </w:r>
          </w:p>
        </w:tc>
        <w:tc>
          <w:tcPr>
            <w:tcW w:w="1770" w:type="dxa"/>
          </w:tcPr>
          <w:p w14:paraId="00000063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35 000 000,0</w:t>
            </w:r>
          </w:p>
        </w:tc>
        <w:tc>
          <w:tcPr>
            <w:tcW w:w="1725" w:type="dxa"/>
          </w:tcPr>
          <w:p w14:paraId="00000064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40 000 000,0</w:t>
            </w:r>
          </w:p>
        </w:tc>
        <w:tc>
          <w:tcPr>
            <w:tcW w:w="1920" w:type="dxa"/>
          </w:tcPr>
          <w:p w14:paraId="00000065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105 000 000,0</w:t>
            </w:r>
          </w:p>
        </w:tc>
      </w:tr>
    </w:tbl>
    <w:p w14:paraId="00000066" w14:textId="77777777" w:rsidR="00571E92" w:rsidRDefault="00571E92">
      <w:pPr>
        <w:jc w:val="both"/>
        <w:rPr>
          <w:sz w:val="28"/>
          <w:szCs w:val="28"/>
        </w:rPr>
      </w:pPr>
    </w:p>
    <w:p w14:paraId="00000067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Розподіл орієнтовного граничного сукупного обсягу публічних інвестицій на  2026,  2027,  2028  роки  на  сектори  (галузі)  для  публічного  інвестування  в межах  доведеного  фінансовим управлінням Здолбунівської міської ради  орієнтовного  граничного сук</w:t>
      </w:r>
      <w:r>
        <w:rPr>
          <w:sz w:val="28"/>
          <w:szCs w:val="28"/>
        </w:rPr>
        <w:t>упного обсягу публічних інвестицій на середньостроковий період має таку структуру:</w:t>
      </w:r>
    </w:p>
    <w:p w14:paraId="00000068" w14:textId="77777777" w:rsidR="00571E92" w:rsidRDefault="00571E92">
      <w:pPr>
        <w:jc w:val="both"/>
        <w:rPr>
          <w:sz w:val="28"/>
          <w:szCs w:val="28"/>
        </w:rPr>
      </w:pPr>
    </w:p>
    <w:p w14:paraId="00000069" w14:textId="77777777" w:rsidR="00571E92" w:rsidRDefault="00571E92">
      <w:pPr>
        <w:jc w:val="both"/>
        <w:rPr>
          <w:sz w:val="28"/>
          <w:szCs w:val="28"/>
        </w:rPr>
      </w:pPr>
    </w:p>
    <w:p w14:paraId="0000006A" w14:textId="77777777" w:rsidR="00571E92" w:rsidRDefault="00571E92">
      <w:pPr>
        <w:jc w:val="both"/>
        <w:rPr>
          <w:sz w:val="28"/>
          <w:szCs w:val="28"/>
        </w:rPr>
      </w:pPr>
    </w:p>
    <w:p w14:paraId="0000006B" w14:textId="77777777" w:rsidR="00571E92" w:rsidRDefault="00571E92">
      <w:pPr>
        <w:jc w:val="both"/>
        <w:rPr>
          <w:sz w:val="28"/>
          <w:szCs w:val="28"/>
        </w:rPr>
      </w:pPr>
    </w:p>
    <w:p w14:paraId="0000006C" w14:textId="77777777" w:rsidR="00571E92" w:rsidRDefault="00C41605">
      <w:pPr>
        <w:jc w:val="right"/>
        <w:rPr>
          <w:sz w:val="28"/>
          <w:szCs w:val="28"/>
        </w:rPr>
      </w:pPr>
      <w:r>
        <w:rPr>
          <w:sz w:val="28"/>
          <w:szCs w:val="28"/>
        </w:rPr>
        <w:t>грн.</w:t>
      </w:r>
    </w:p>
    <w:tbl>
      <w:tblPr>
        <w:tblStyle w:val="ab"/>
        <w:tblW w:w="92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1710"/>
        <w:gridCol w:w="1710"/>
        <w:gridCol w:w="1710"/>
        <w:gridCol w:w="2010"/>
      </w:tblGrid>
      <w:tr w:rsidR="00571E92" w14:paraId="7CF261EC" w14:textId="77777777">
        <w:trPr>
          <w:trHeight w:val="210"/>
        </w:trPr>
        <w:tc>
          <w:tcPr>
            <w:tcW w:w="2145" w:type="dxa"/>
          </w:tcPr>
          <w:p w14:paraId="0000006D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Галузь (сектор)</w:t>
            </w:r>
          </w:p>
        </w:tc>
        <w:tc>
          <w:tcPr>
            <w:tcW w:w="1710" w:type="dxa"/>
          </w:tcPr>
          <w:p w14:paraId="0000006E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Граничний </w:t>
            </w:r>
          </w:p>
          <w:p w14:paraId="0000006F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розподіл на </w:t>
            </w:r>
          </w:p>
          <w:p w14:paraId="00000070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 рік</w:t>
            </w:r>
          </w:p>
        </w:tc>
        <w:tc>
          <w:tcPr>
            <w:tcW w:w="1710" w:type="dxa"/>
          </w:tcPr>
          <w:p w14:paraId="00000071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Граничний </w:t>
            </w:r>
          </w:p>
          <w:p w14:paraId="00000072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розподіл на </w:t>
            </w:r>
          </w:p>
          <w:p w14:paraId="00000073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 рік</w:t>
            </w:r>
          </w:p>
        </w:tc>
        <w:tc>
          <w:tcPr>
            <w:tcW w:w="1710" w:type="dxa"/>
          </w:tcPr>
          <w:p w14:paraId="00000074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Граничний </w:t>
            </w:r>
          </w:p>
          <w:p w14:paraId="00000075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розподіл на </w:t>
            </w:r>
          </w:p>
          <w:p w14:paraId="00000076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 рік</w:t>
            </w:r>
          </w:p>
        </w:tc>
        <w:tc>
          <w:tcPr>
            <w:tcW w:w="2010" w:type="dxa"/>
          </w:tcPr>
          <w:p w14:paraId="00000077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Граничний </w:t>
            </w:r>
          </w:p>
          <w:p w14:paraId="00000078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розподіл на </w:t>
            </w:r>
          </w:p>
          <w:p w14:paraId="00000079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середньостроковий</w:t>
            </w:r>
          </w:p>
          <w:p w14:paraId="0000007A" w14:textId="77777777" w:rsidR="00571E92" w:rsidRDefault="00C416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період</w:t>
            </w:r>
          </w:p>
        </w:tc>
      </w:tr>
      <w:tr w:rsidR="00571E92" w14:paraId="79A39FE1" w14:textId="77777777">
        <w:trPr>
          <w:trHeight w:val="240"/>
        </w:trPr>
        <w:tc>
          <w:tcPr>
            <w:tcW w:w="2145" w:type="dxa"/>
          </w:tcPr>
          <w:p w14:paraId="0000007B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Муніципальна  інфраструктура  та  послуги</w:t>
            </w:r>
          </w:p>
        </w:tc>
        <w:tc>
          <w:tcPr>
            <w:tcW w:w="1710" w:type="dxa"/>
          </w:tcPr>
          <w:p w14:paraId="0000007C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5 461 424,28</w:t>
            </w:r>
          </w:p>
        </w:tc>
        <w:tc>
          <w:tcPr>
            <w:tcW w:w="1710" w:type="dxa"/>
          </w:tcPr>
          <w:p w14:paraId="0000007D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12 343 587,48</w:t>
            </w:r>
          </w:p>
        </w:tc>
        <w:tc>
          <w:tcPr>
            <w:tcW w:w="1710" w:type="dxa"/>
          </w:tcPr>
          <w:p w14:paraId="0000007E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10 058 591,77</w:t>
            </w:r>
          </w:p>
        </w:tc>
        <w:tc>
          <w:tcPr>
            <w:tcW w:w="2010" w:type="dxa"/>
          </w:tcPr>
          <w:p w14:paraId="0000007F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27 863 603,53</w:t>
            </w:r>
          </w:p>
        </w:tc>
      </w:tr>
      <w:tr w:rsidR="00571E92" w14:paraId="15397267" w14:textId="77777777">
        <w:trPr>
          <w:trHeight w:val="390"/>
        </w:trPr>
        <w:tc>
          <w:tcPr>
            <w:tcW w:w="2145" w:type="dxa"/>
          </w:tcPr>
          <w:p w14:paraId="00000080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Освіта</w:t>
            </w:r>
          </w:p>
        </w:tc>
        <w:tc>
          <w:tcPr>
            <w:tcW w:w="1710" w:type="dxa"/>
          </w:tcPr>
          <w:p w14:paraId="00000081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18 738 575,72</w:t>
            </w:r>
          </w:p>
          <w:p w14:paraId="00000082" w14:textId="77777777" w:rsidR="00571E92" w:rsidRDefault="00571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0000083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16 091 628,45</w:t>
            </w:r>
          </w:p>
        </w:tc>
        <w:tc>
          <w:tcPr>
            <w:tcW w:w="1710" w:type="dxa"/>
          </w:tcPr>
          <w:p w14:paraId="00000084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20 638 936,53</w:t>
            </w:r>
          </w:p>
        </w:tc>
        <w:tc>
          <w:tcPr>
            <w:tcW w:w="2010" w:type="dxa"/>
          </w:tcPr>
          <w:p w14:paraId="00000085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55 469 140,70</w:t>
            </w:r>
          </w:p>
        </w:tc>
      </w:tr>
      <w:tr w:rsidR="00571E92" w14:paraId="57E6900A" w14:textId="77777777">
        <w:trPr>
          <w:trHeight w:val="165"/>
        </w:trPr>
        <w:tc>
          <w:tcPr>
            <w:tcW w:w="2145" w:type="dxa"/>
          </w:tcPr>
          <w:p w14:paraId="00000086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Охорона здоров'я</w:t>
            </w:r>
          </w:p>
        </w:tc>
        <w:tc>
          <w:tcPr>
            <w:tcW w:w="1710" w:type="dxa"/>
          </w:tcPr>
          <w:p w14:paraId="00000087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800 000,00</w:t>
            </w:r>
          </w:p>
        </w:tc>
        <w:tc>
          <w:tcPr>
            <w:tcW w:w="1710" w:type="dxa"/>
          </w:tcPr>
          <w:p w14:paraId="00000088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5 564 784,07</w:t>
            </w:r>
          </w:p>
        </w:tc>
        <w:tc>
          <w:tcPr>
            <w:tcW w:w="1710" w:type="dxa"/>
          </w:tcPr>
          <w:p w14:paraId="00000089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8 302 471,70</w:t>
            </w:r>
          </w:p>
        </w:tc>
        <w:tc>
          <w:tcPr>
            <w:tcW w:w="2010" w:type="dxa"/>
          </w:tcPr>
          <w:p w14:paraId="0000008A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14 667 255,77</w:t>
            </w:r>
          </w:p>
          <w:p w14:paraId="0000008B" w14:textId="77777777" w:rsidR="00571E92" w:rsidRDefault="00571E92">
            <w:pPr>
              <w:jc w:val="center"/>
              <w:rPr>
                <w:sz w:val="24"/>
                <w:szCs w:val="24"/>
              </w:rPr>
            </w:pPr>
          </w:p>
        </w:tc>
      </w:tr>
      <w:tr w:rsidR="00571E92" w14:paraId="4330B96F" w14:textId="77777777">
        <w:trPr>
          <w:trHeight w:val="360"/>
        </w:trPr>
        <w:tc>
          <w:tcPr>
            <w:tcW w:w="2145" w:type="dxa"/>
          </w:tcPr>
          <w:p w14:paraId="0000008C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Соціальна сфера</w:t>
            </w:r>
          </w:p>
        </w:tc>
        <w:tc>
          <w:tcPr>
            <w:tcW w:w="1710" w:type="dxa"/>
          </w:tcPr>
          <w:p w14:paraId="0000008D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5 000 000,00</w:t>
            </w:r>
          </w:p>
        </w:tc>
        <w:tc>
          <w:tcPr>
            <w:tcW w:w="1710" w:type="dxa"/>
          </w:tcPr>
          <w:p w14:paraId="0000008E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1 000 000, 00</w:t>
            </w:r>
          </w:p>
        </w:tc>
        <w:tc>
          <w:tcPr>
            <w:tcW w:w="1710" w:type="dxa"/>
          </w:tcPr>
          <w:p w14:paraId="0000008F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1 000 000, 00</w:t>
            </w:r>
          </w:p>
        </w:tc>
        <w:tc>
          <w:tcPr>
            <w:tcW w:w="2010" w:type="dxa"/>
          </w:tcPr>
          <w:p w14:paraId="00000090" w14:textId="77777777" w:rsidR="00571E92" w:rsidRDefault="00C416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7 000 000,00</w:t>
            </w:r>
          </w:p>
        </w:tc>
      </w:tr>
      <w:tr w:rsidR="00571E92" w14:paraId="3F469D15" w14:textId="77777777">
        <w:trPr>
          <w:trHeight w:val="285"/>
        </w:trPr>
        <w:tc>
          <w:tcPr>
            <w:tcW w:w="2145" w:type="dxa"/>
          </w:tcPr>
          <w:p w14:paraId="00000091" w14:textId="77777777" w:rsidR="00571E92" w:rsidRDefault="00C4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Публічні послуги і пов'язана з ними цифровізація</w:t>
            </w:r>
          </w:p>
        </w:tc>
        <w:tc>
          <w:tcPr>
            <w:tcW w:w="1710" w:type="dxa"/>
          </w:tcPr>
          <w:p w14:paraId="00000092" w14:textId="77777777" w:rsidR="00571E92" w:rsidRDefault="00571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0000093" w14:textId="77777777" w:rsidR="00571E92" w:rsidRDefault="00571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0000094" w14:textId="77777777" w:rsidR="00571E92" w:rsidRDefault="00571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14:paraId="00000095" w14:textId="77777777" w:rsidR="00571E92" w:rsidRDefault="00571E92">
            <w:pPr>
              <w:jc w:val="both"/>
              <w:rPr>
                <w:sz w:val="24"/>
                <w:szCs w:val="24"/>
              </w:rPr>
            </w:pPr>
          </w:p>
        </w:tc>
      </w:tr>
      <w:tr w:rsidR="00571E92" w14:paraId="13050C98" w14:textId="77777777">
        <w:trPr>
          <w:trHeight w:val="345"/>
        </w:trPr>
        <w:tc>
          <w:tcPr>
            <w:tcW w:w="2145" w:type="dxa"/>
          </w:tcPr>
          <w:p w14:paraId="00000096" w14:textId="77777777" w:rsidR="00571E92" w:rsidRDefault="00C4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Спорт та фізичне виховання</w:t>
            </w:r>
          </w:p>
        </w:tc>
        <w:tc>
          <w:tcPr>
            <w:tcW w:w="1710" w:type="dxa"/>
          </w:tcPr>
          <w:p w14:paraId="00000097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0000098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0000099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0000009A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</w:tr>
      <w:tr w:rsidR="00571E92" w14:paraId="43C0CE27" w14:textId="77777777">
        <w:trPr>
          <w:trHeight w:val="180"/>
        </w:trPr>
        <w:tc>
          <w:tcPr>
            <w:tcW w:w="2145" w:type="dxa"/>
          </w:tcPr>
          <w:p w14:paraId="0000009B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Культура та інформація</w:t>
            </w:r>
          </w:p>
        </w:tc>
        <w:tc>
          <w:tcPr>
            <w:tcW w:w="1710" w:type="dxa"/>
          </w:tcPr>
          <w:p w14:paraId="0000009C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000009D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000009E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0000009F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</w:tr>
      <w:tr w:rsidR="00571E92" w14:paraId="56B18B14" w14:textId="77777777">
        <w:trPr>
          <w:trHeight w:val="195"/>
        </w:trPr>
        <w:tc>
          <w:tcPr>
            <w:tcW w:w="2145" w:type="dxa"/>
          </w:tcPr>
          <w:p w14:paraId="000000A0" w14:textId="77777777" w:rsidR="00571E92" w:rsidRDefault="00C41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Довкілля</w:t>
            </w:r>
          </w:p>
        </w:tc>
        <w:tc>
          <w:tcPr>
            <w:tcW w:w="1710" w:type="dxa"/>
          </w:tcPr>
          <w:p w14:paraId="000000A1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00000A2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00000A3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000000A4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</w:tr>
      <w:tr w:rsidR="00571E92" w14:paraId="74316118" w14:textId="77777777">
        <w:trPr>
          <w:trHeight w:val="225"/>
        </w:trPr>
        <w:tc>
          <w:tcPr>
            <w:tcW w:w="2145" w:type="dxa"/>
          </w:tcPr>
          <w:p w14:paraId="000000A5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00000A6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00000A7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00000A8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14:paraId="000000A9" w14:textId="77777777" w:rsidR="00571E92" w:rsidRDefault="00571E92">
            <w:pPr>
              <w:jc w:val="both"/>
              <w:rPr>
                <w:sz w:val="28"/>
                <w:szCs w:val="28"/>
              </w:rPr>
            </w:pPr>
          </w:p>
        </w:tc>
      </w:tr>
      <w:tr w:rsidR="00571E92" w14:paraId="2566C5F7" w14:textId="77777777">
        <w:trPr>
          <w:trHeight w:val="195"/>
        </w:trPr>
        <w:tc>
          <w:tcPr>
            <w:tcW w:w="2145" w:type="dxa"/>
          </w:tcPr>
          <w:p w14:paraId="000000AA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Загальний результат</w:t>
            </w:r>
          </w:p>
        </w:tc>
        <w:tc>
          <w:tcPr>
            <w:tcW w:w="1710" w:type="dxa"/>
          </w:tcPr>
          <w:p w14:paraId="000000AB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30 000 000</w:t>
            </w:r>
          </w:p>
        </w:tc>
        <w:tc>
          <w:tcPr>
            <w:tcW w:w="1710" w:type="dxa"/>
          </w:tcPr>
          <w:p w14:paraId="000000AC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35 000 000</w:t>
            </w:r>
          </w:p>
        </w:tc>
        <w:tc>
          <w:tcPr>
            <w:tcW w:w="1710" w:type="dxa"/>
          </w:tcPr>
          <w:p w14:paraId="000000AD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40 000 000</w:t>
            </w:r>
          </w:p>
        </w:tc>
        <w:tc>
          <w:tcPr>
            <w:tcW w:w="2010" w:type="dxa"/>
          </w:tcPr>
          <w:p w14:paraId="000000AE" w14:textId="77777777" w:rsidR="00571E92" w:rsidRDefault="00C4160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105 000 000</w:t>
            </w:r>
          </w:p>
        </w:tc>
      </w:tr>
    </w:tbl>
    <w:p w14:paraId="000000AF" w14:textId="77777777" w:rsidR="00571E92" w:rsidRDefault="00571E92">
      <w:pPr>
        <w:jc w:val="both"/>
        <w:rPr>
          <w:sz w:val="28"/>
          <w:szCs w:val="28"/>
        </w:rPr>
      </w:pPr>
    </w:p>
    <w:p w14:paraId="000000B0" w14:textId="77777777" w:rsidR="00571E92" w:rsidRDefault="00C41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Підсумки та перспективи</w:t>
      </w:r>
    </w:p>
    <w:p w14:paraId="000000B1" w14:textId="77777777" w:rsidR="00571E92" w:rsidRDefault="00571E92">
      <w:pPr>
        <w:jc w:val="both"/>
        <w:rPr>
          <w:b/>
          <w:sz w:val="28"/>
          <w:szCs w:val="28"/>
        </w:rPr>
      </w:pPr>
    </w:p>
    <w:p w14:paraId="000000B2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Середньостроковий  план  є документом  місцевого рівня, що  формує основу  для  якісно  нового  підходу  до  управління  публічними  інвестиціями  в громаді.</w:t>
      </w:r>
    </w:p>
    <w:p w14:paraId="000000B3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Визначення  наскрізних  стратегічних  цілей,  узгодження  з  наявними стр</w:t>
      </w:r>
      <w:r>
        <w:rPr>
          <w:sz w:val="28"/>
          <w:szCs w:val="28"/>
        </w:rPr>
        <w:t>атегічними документами, продовження та завершення розпочатих проєктів і програм,  а  також  закріплення  пріоритетних  галузей  (секторів)  і  основних напрямів  публічного  інвестування  забезпечують  спрямування  ресурсів  на реалізацію ключових пріорите</w:t>
      </w:r>
      <w:r>
        <w:rPr>
          <w:sz w:val="28"/>
          <w:szCs w:val="28"/>
        </w:rPr>
        <w:t>тів розвитку громади. Це сприятиме ефективному використанню як попередньо вкладених, так і поточних публічних інвестицій, а також створить чітке розуміння пріоритетних сфер, що потребують державної підтримки у середньостроковому періоді.</w:t>
      </w:r>
    </w:p>
    <w:p w14:paraId="000000B4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Визначення  напрям</w:t>
      </w:r>
      <w:r>
        <w:rPr>
          <w:sz w:val="28"/>
          <w:szCs w:val="28"/>
        </w:rPr>
        <w:t xml:space="preserve">ів  публічного  інвестування  відповідних  галузей (секторів)  для  публічного  інвестування  має  ключове  значення  для  </w:t>
      </w:r>
      <w:r>
        <w:rPr>
          <w:sz w:val="28"/>
          <w:szCs w:val="28"/>
        </w:rPr>
        <w:lastRenderedPageBreak/>
        <w:t>подальшої підготовки,  оцінки  проектів  та  програм,  а  також  формування  єдиного проектного портфеля публічних інвестицій .</w:t>
      </w:r>
    </w:p>
    <w:p w14:paraId="000000B5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Підго</w:t>
      </w:r>
      <w:r>
        <w:rPr>
          <w:sz w:val="28"/>
          <w:szCs w:val="28"/>
        </w:rPr>
        <w:t>товка  проектів  та  програм  передбачає  обов’язкове  визначення напряму  публічного  інвестування  у  відповідній  галузі  (секторі),  з  яким пов’язаний  проект  чи  програма,  а  також  узгодження  мети  та  цілей  проекту  з таким напрямом.</w:t>
      </w:r>
    </w:p>
    <w:p w14:paraId="000000B6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Оцінка  пр</w:t>
      </w:r>
      <w:r>
        <w:rPr>
          <w:sz w:val="28"/>
          <w:szCs w:val="28"/>
        </w:rPr>
        <w:t>оектів  та  програм  включає  оцінку  відповідності  (скринінг), галузеву  (секторальну)  експертну  оцінку  та  експертну  оцінку,  що  передбачає аналіз  ряду  показників,  пов’язаних  із  напрямами  публічного  інвестування відповідних галузей (секторів</w:t>
      </w:r>
      <w:r>
        <w:rPr>
          <w:sz w:val="28"/>
          <w:szCs w:val="28"/>
        </w:rPr>
        <w:t>).</w:t>
      </w:r>
    </w:p>
    <w:p w14:paraId="000000B7" w14:textId="77777777" w:rsidR="00571E92" w:rsidRDefault="00C416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 визначення  напрямів  для  публічного  інвестування  неможлива пріоритезація проектів, які включені до галузевого (секторального) проектного портфеля. В подальшому лише ті проекти та програми, що включені до галузевого (секторального)  проектного  </w:t>
      </w:r>
      <w:r>
        <w:rPr>
          <w:sz w:val="28"/>
          <w:szCs w:val="28"/>
        </w:rPr>
        <w:t>портфеля  та  відповідають основним  напрямам публічного  інвестування,  визначеним  в  Додатку  1  до  середньострокового плану,  можуть  бути  включені  в  Єдиний  проектний  портфель  публічних інвестицій держави та, відповідно, зможуть отримати фінансу</w:t>
      </w:r>
      <w:r>
        <w:rPr>
          <w:sz w:val="28"/>
          <w:szCs w:val="28"/>
        </w:rPr>
        <w:t xml:space="preserve">вання за рахунок коштів державного бюджету та/або з наданням державної підтримки. </w:t>
      </w:r>
    </w:p>
    <w:p w14:paraId="000000B8" w14:textId="77777777" w:rsidR="00571E92" w:rsidRDefault="00571E92">
      <w:pPr>
        <w:ind w:firstLine="708"/>
        <w:jc w:val="both"/>
        <w:rPr>
          <w:sz w:val="28"/>
          <w:szCs w:val="28"/>
        </w:rPr>
      </w:pPr>
    </w:p>
    <w:p w14:paraId="000000B9" w14:textId="77777777" w:rsidR="00571E92" w:rsidRDefault="00571E92">
      <w:pPr>
        <w:ind w:firstLine="708"/>
        <w:jc w:val="both"/>
        <w:rPr>
          <w:sz w:val="28"/>
          <w:szCs w:val="28"/>
        </w:rPr>
      </w:pPr>
    </w:p>
    <w:p w14:paraId="000000BA" w14:textId="77777777" w:rsidR="00571E92" w:rsidRDefault="00571E92">
      <w:pPr>
        <w:ind w:firstLine="708"/>
        <w:jc w:val="both"/>
        <w:rPr>
          <w:sz w:val="28"/>
          <w:szCs w:val="28"/>
        </w:rPr>
      </w:pPr>
    </w:p>
    <w:p w14:paraId="000000BB" w14:textId="77777777" w:rsidR="00571E92" w:rsidRDefault="00C41605">
      <w:pPr>
        <w:jc w:val="both"/>
        <w:rPr>
          <w:sz w:val="28"/>
          <w:szCs w:val="28"/>
        </w:rPr>
      </w:pPr>
      <w:bookmarkStart w:id="1" w:name="_heading=h.aziyhg68ulzj" w:colFirst="0" w:colLast="0"/>
      <w:bookmarkEnd w:id="1"/>
      <w:r>
        <w:rPr>
          <w:sz w:val="28"/>
          <w:szCs w:val="28"/>
        </w:rPr>
        <w:t>Керуюча справами виконкому</w:t>
      </w:r>
      <w:r>
        <w:rPr>
          <w:sz w:val="28"/>
          <w:szCs w:val="28"/>
        </w:rPr>
        <w:tab/>
      </w:r>
    </w:p>
    <w:p w14:paraId="000000BC" w14:textId="77777777" w:rsidR="00571E92" w:rsidRDefault="00C41605">
      <w:pPr>
        <w:jc w:val="both"/>
        <w:rPr>
          <w:sz w:val="28"/>
          <w:szCs w:val="28"/>
        </w:rPr>
      </w:pPr>
      <w:bookmarkStart w:id="2" w:name="_heading=h.m8vwtmhlx9bl" w:colFirst="0" w:colLast="0"/>
      <w:bookmarkEnd w:id="2"/>
      <w:r>
        <w:rPr>
          <w:sz w:val="28"/>
          <w:szCs w:val="28"/>
        </w:rPr>
        <w:t xml:space="preserve">міської ради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Валентина КАПІТУЛА</w:t>
      </w:r>
    </w:p>
    <w:sectPr w:rsidR="00571E92">
      <w:pgSz w:w="11906" w:h="16838"/>
      <w:pgMar w:top="1134" w:right="850" w:bottom="89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92"/>
    <w:rsid w:val="00571E92"/>
    <w:rsid w:val="00C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E1F3"/>
  <w15:docId w15:val="{DCF04C37-4B6E-4673-8543-F778E17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qFormat/>
    <w:rsid w:val="00F32E9A"/>
    <w:rPr>
      <w:b/>
      <w:bCs/>
    </w:rPr>
  </w:style>
  <w:style w:type="character" w:styleId="a5">
    <w:name w:val="Hyperlink"/>
    <w:basedOn w:val="a0"/>
    <w:rsid w:val="00BB627B"/>
    <w:rPr>
      <w:color w:val="0000FF"/>
      <w:u w:val="single"/>
    </w:rPr>
  </w:style>
  <w:style w:type="character" w:customStyle="1" w:styleId="uv3um">
    <w:name w:val="uv3um"/>
    <w:basedOn w:val="a0"/>
    <w:rsid w:val="007C032D"/>
  </w:style>
  <w:style w:type="paragraph" w:styleId="a6">
    <w:name w:val="Balloon Text"/>
    <w:link w:val="a7"/>
    <w:rsid w:val="00E638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638D3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YZCDmWP1knyDbJpZmk4GM7OVBA==">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9487</Words>
  <Characters>5408</Characters>
  <Application>Microsoft Office Word</Application>
  <DocSecurity>0</DocSecurity>
  <Lines>45</Lines>
  <Paragraphs>29</Paragraphs>
  <ScaleCrop>false</ScaleCrop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2</cp:revision>
  <dcterms:created xsi:type="dcterms:W3CDTF">2025-08-20T13:37:00Z</dcterms:created>
  <dcterms:modified xsi:type="dcterms:W3CDTF">2025-08-22T11:08:00Z</dcterms:modified>
</cp:coreProperties>
</file>