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277" w:rsidRPr="00E16397" w:rsidRDefault="007746AE" w:rsidP="00E16397">
      <w:pPr>
        <w:shd w:val="clear" w:color="auto" w:fill="FFFFFF"/>
        <w:spacing w:after="0"/>
        <w:ind w:left="3969"/>
        <w:jc w:val="center"/>
        <w:rPr>
          <w:rFonts w:ascii="Times New Roman" w:eastAsia="Times New Roman" w:hAnsi="Times New Roman"/>
          <w:sz w:val="28"/>
          <w:szCs w:val="28"/>
        </w:rPr>
      </w:pPr>
      <w:r w:rsidRPr="00E16397">
        <w:rPr>
          <w:rFonts w:ascii="Times New Roman" w:eastAsia="Times New Roman" w:hAnsi="Times New Roman"/>
          <w:sz w:val="28"/>
          <w:szCs w:val="28"/>
        </w:rPr>
        <w:t>Додаток 2</w:t>
      </w:r>
    </w:p>
    <w:p w:rsidR="001D5277" w:rsidRPr="00E16397" w:rsidRDefault="007746AE" w:rsidP="00E16397">
      <w:pPr>
        <w:shd w:val="clear" w:color="auto" w:fill="FFFFFF"/>
        <w:spacing w:after="0" w:line="240" w:lineRule="auto"/>
        <w:ind w:left="3969"/>
        <w:rPr>
          <w:rFonts w:ascii="Times New Roman" w:eastAsia="Times New Roman" w:hAnsi="Times New Roman"/>
          <w:sz w:val="28"/>
          <w:szCs w:val="28"/>
        </w:rPr>
      </w:pPr>
      <w:r w:rsidRPr="00E16397">
        <w:rPr>
          <w:rFonts w:ascii="Times New Roman" w:eastAsia="Times New Roman" w:hAnsi="Times New Roman"/>
          <w:sz w:val="28"/>
          <w:szCs w:val="28"/>
        </w:rPr>
        <w:t>до Положення про порядок формування фондів житла, призначеного для тимчасового проживання, та надання такого житла для тимчасового проживання внутрішньо переміщених осіб та інших категорій соціально незахищених верств населення</w:t>
      </w:r>
    </w:p>
    <w:p w:rsidR="001D5277" w:rsidRPr="00E16397" w:rsidRDefault="001D5277">
      <w:pPr>
        <w:shd w:val="clear" w:color="auto" w:fill="FFFFFF"/>
        <w:spacing w:after="0" w:line="240" w:lineRule="auto"/>
        <w:ind w:left="5103"/>
        <w:rPr>
          <w:rFonts w:ascii="Times New Roman" w:eastAsia="Times New Roman" w:hAnsi="Times New Roman"/>
          <w:sz w:val="28"/>
          <w:szCs w:val="28"/>
        </w:rPr>
      </w:pPr>
    </w:p>
    <w:p w:rsidR="001D5277" w:rsidRPr="00E16397" w:rsidRDefault="001D5277">
      <w:pPr>
        <w:shd w:val="clear" w:color="auto" w:fill="FFFFFF"/>
        <w:spacing w:after="0" w:line="240" w:lineRule="auto"/>
        <w:jc w:val="both"/>
        <w:rPr>
          <w:rFonts w:ascii="Times New Roman" w:eastAsia="Times New Roman" w:hAnsi="Times New Roman"/>
          <w:sz w:val="28"/>
          <w:szCs w:val="28"/>
        </w:rPr>
      </w:pPr>
    </w:p>
    <w:p w:rsidR="001D5277" w:rsidRPr="00E16397" w:rsidRDefault="007746AE">
      <w:pPr>
        <w:pBdr>
          <w:top w:val="nil"/>
          <w:left w:val="nil"/>
          <w:bottom w:val="nil"/>
          <w:right w:val="nil"/>
          <w:between w:val="nil"/>
        </w:pBdr>
        <w:shd w:val="clear" w:color="auto" w:fill="FFFFFF"/>
        <w:spacing w:after="0" w:line="240" w:lineRule="auto"/>
        <w:ind w:right="450" w:firstLine="709"/>
        <w:jc w:val="center"/>
        <w:rPr>
          <w:rFonts w:ascii="Times New Roman" w:eastAsia="Times New Roman" w:hAnsi="Times New Roman"/>
          <w:b/>
          <w:sz w:val="28"/>
          <w:szCs w:val="28"/>
        </w:rPr>
      </w:pPr>
      <w:r w:rsidRPr="00E16397">
        <w:rPr>
          <w:rFonts w:ascii="Times New Roman" w:eastAsia="Times New Roman" w:hAnsi="Times New Roman"/>
          <w:b/>
          <w:sz w:val="28"/>
          <w:szCs w:val="28"/>
        </w:rPr>
        <w:t>ПЕРЕЛІК</w:t>
      </w:r>
    </w:p>
    <w:p w:rsidR="001D5277" w:rsidRPr="00E16397" w:rsidRDefault="007746AE">
      <w:pPr>
        <w:pBdr>
          <w:top w:val="nil"/>
          <w:left w:val="nil"/>
          <w:bottom w:val="nil"/>
          <w:right w:val="nil"/>
          <w:between w:val="nil"/>
        </w:pBdr>
        <w:shd w:val="clear" w:color="auto" w:fill="FFFFFF"/>
        <w:spacing w:after="0" w:line="240" w:lineRule="auto"/>
        <w:ind w:right="450"/>
        <w:jc w:val="center"/>
        <w:rPr>
          <w:rFonts w:ascii="Times New Roman" w:eastAsia="Times New Roman" w:hAnsi="Times New Roman"/>
          <w:b/>
          <w:sz w:val="28"/>
          <w:szCs w:val="28"/>
        </w:rPr>
      </w:pPr>
      <w:r w:rsidRPr="00E16397">
        <w:rPr>
          <w:rFonts w:ascii="Times New Roman" w:eastAsia="Times New Roman" w:hAnsi="Times New Roman"/>
          <w:b/>
          <w:sz w:val="28"/>
          <w:szCs w:val="28"/>
        </w:rPr>
        <w:t>категорій соціально незахищених верств населення, які мають право</w:t>
      </w:r>
    </w:p>
    <w:p w:rsidR="001D5277" w:rsidRPr="00E16397" w:rsidRDefault="007746AE">
      <w:pPr>
        <w:pBdr>
          <w:top w:val="nil"/>
          <w:left w:val="nil"/>
          <w:bottom w:val="nil"/>
          <w:right w:val="nil"/>
          <w:between w:val="nil"/>
        </w:pBdr>
        <w:shd w:val="clear" w:color="auto" w:fill="FFFFFF"/>
        <w:spacing w:after="0" w:line="240" w:lineRule="auto"/>
        <w:ind w:right="450"/>
        <w:jc w:val="center"/>
        <w:rPr>
          <w:rFonts w:ascii="Times New Roman" w:eastAsia="Times New Roman" w:hAnsi="Times New Roman"/>
          <w:b/>
          <w:sz w:val="28"/>
          <w:szCs w:val="28"/>
        </w:rPr>
      </w:pPr>
      <w:r w:rsidRPr="00E16397">
        <w:rPr>
          <w:rFonts w:ascii="Times New Roman" w:eastAsia="Times New Roman" w:hAnsi="Times New Roman"/>
          <w:b/>
          <w:sz w:val="28"/>
          <w:szCs w:val="28"/>
        </w:rPr>
        <w:t>на отримання житла в будівлях для тимчасового проживання</w:t>
      </w:r>
    </w:p>
    <w:p w:rsidR="001D5277" w:rsidRPr="00E16397" w:rsidRDefault="007746AE">
      <w:pPr>
        <w:pBdr>
          <w:top w:val="nil"/>
          <w:left w:val="nil"/>
          <w:bottom w:val="nil"/>
          <w:right w:val="nil"/>
          <w:between w:val="nil"/>
        </w:pBdr>
        <w:shd w:val="clear" w:color="auto" w:fill="FFFFFF"/>
        <w:spacing w:after="0" w:line="240" w:lineRule="auto"/>
        <w:ind w:right="450"/>
        <w:jc w:val="center"/>
        <w:rPr>
          <w:rFonts w:ascii="Times New Roman" w:eastAsia="Times New Roman" w:hAnsi="Times New Roman"/>
          <w:b/>
          <w:sz w:val="28"/>
          <w:szCs w:val="28"/>
        </w:rPr>
      </w:pPr>
      <w:r w:rsidRPr="00E16397">
        <w:rPr>
          <w:rFonts w:ascii="Times New Roman" w:eastAsia="Times New Roman" w:hAnsi="Times New Roman"/>
          <w:b/>
          <w:sz w:val="28"/>
          <w:szCs w:val="28"/>
        </w:rPr>
        <w:t xml:space="preserve">внутрішньо переміщених осіб та інших категорій соціально незахищених верств населення, визначених </w:t>
      </w:r>
      <w:hyperlink r:id="rId8" w:anchor="n2297">
        <w:r w:rsidRPr="00E16397">
          <w:rPr>
            <w:rFonts w:ascii="Times New Roman" w:eastAsia="Times New Roman" w:hAnsi="Times New Roman"/>
            <w:b/>
            <w:sz w:val="28"/>
            <w:szCs w:val="28"/>
          </w:rPr>
          <w:t>підпунктом 1</w:t>
        </w:r>
      </w:hyperlink>
      <w:r w:rsidRPr="00E16397">
        <w:rPr>
          <w:rFonts w:ascii="Times New Roman" w:eastAsia="Times New Roman" w:hAnsi="Times New Roman"/>
          <w:b/>
          <w:sz w:val="28"/>
          <w:szCs w:val="28"/>
        </w:rPr>
        <w:t xml:space="preserve"> пункту 9</w:t>
      </w:r>
      <w:r w:rsidRPr="00E16397">
        <w:rPr>
          <w:rFonts w:ascii="Times New Roman" w:eastAsia="Times New Roman" w:hAnsi="Times New Roman"/>
          <w:b/>
          <w:sz w:val="28"/>
          <w:szCs w:val="28"/>
          <w:vertAlign w:val="superscript"/>
        </w:rPr>
        <w:t>-3</w:t>
      </w:r>
      <w:r w:rsidRPr="00E16397">
        <w:rPr>
          <w:rFonts w:ascii="Times New Roman" w:eastAsia="Times New Roman" w:hAnsi="Times New Roman"/>
          <w:b/>
          <w:sz w:val="28"/>
          <w:szCs w:val="28"/>
        </w:rPr>
        <w:t xml:space="preserve"> і</w:t>
      </w:r>
    </w:p>
    <w:p w:rsidR="001D5277" w:rsidRPr="00E16397" w:rsidRDefault="007746AE">
      <w:pPr>
        <w:pBdr>
          <w:top w:val="nil"/>
          <w:left w:val="nil"/>
          <w:bottom w:val="nil"/>
          <w:right w:val="nil"/>
          <w:between w:val="nil"/>
        </w:pBdr>
        <w:shd w:val="clear" w:color="auto" w:fill="FFFFFF"/>
        <w:spacing w:after="0" w:line="240" w:lineRule="auto"/>
        <w:ind w:right="450"/>
        <w:jc w:val="center"/>
        <w:rPr>
          <w:rFonts w:ascii="Times New Roman" w:eastAsia="Times New Roman" w:hAnsi="Times New Roman"/>
          <w:sz w:val="28"/>
          <w:szCs w:val="28"/>
        </w:rPr>
      </w:pPr>
      <w:r w:rsidRPr="00E16397">
        <w:rPr>
          <w:rFonts w:ascii="Times New Roman" w:eastAsia="Times New Roman" w:hAnsi="Times New Roman"/>
          <w:b/>
          <w:sz w:val="28"/>
          <w:szCs w:val="28"/>
        </w:rPr>
        <w:t>пунктом 9</w:t>
      </w:r>
      <w:r w:rsidRPr="00E16397">
        <w:rPr>
          <w:rFonts w:ascii="Times New Roman" w:eastAsia="Times New Roman" w:hAnsi="Times New Roman"/>
          <w:b/>
          <w:sz w:val="28"/>
          <w:szCs w:val="28"/>
          <w:vertAlign w:val="superscript"/>
        </w:rPr>
        <w:t>-4</w:t>
      </w:r>
      <w:r w:rsidRPr="00E16397">
        <w:rPr>
          <w:rFonts w:ascii="Times New Roman" w:eastAsia="Times New Roman" w:hAnsi="Times New Roman"/>
          <w:b/>
          <w:sz w:val="28"/>
          <w:szCs w:val="28"/>
        </w:rPr>
        <w:t xml:space="preserve"> розділу V «Прикінцеві положення» Закону України «Про регулювання містобудівної діяльності»</w:t>
      </w:r>
    </w:p>
    <w:p w:rsidR="001D5277" w:rsidRPr="00E16397" w:rsidRDefault="001D527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bookmarkStart w:id="0" w:name="bookmark=id.meukdy" w:colFirst="0" w:colLast="0"/>
      <w:bookmarkEnd w:id="0"/>
    </w:p>
    <w:p w:rsidR="001D5277" w:rsidRPr="00E16397" w:rsidRDefault="007746A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r w:rsidRPr="00E16397">
        <w:rPr>
          <w:rFonts w:ascii="Times New Roman" w:eastAsia="Times New Roman" w:hAnsi="Times New Roman"/>
          <w:sz w:val="28"/>
          <w:szCs w:val="28"/>
        </w:rPr>
        <w:t xml:space="preserve">Соціально незахищені верстви населення із числа внутрішньо переміщених осіб, які перемістилися з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E16397">
        <w:rPr>
          <w:rFonts w:ascii="Times New Roman" w:eastAsia="Times New Roman" w:hAnsi="Times New Roman"/>
          <w:sz w:val="28"/>
          <w:szCs w:val="28"/>
        </w:rPr>
        <w:t>Мінрозвитку</w:t>
      </w:r>
      <w:proofErr w:type="spellEnd"/>
      <w:r w:rsidRPr="00E16397">
        <w:rPr>
          <w:rFonts w:ascii="Times New Roman" w:eastAsia="Times New Roman" w:hAnsi="Times New Roman"/>
          <w:sz w:val="28"/>
          <w:szCs w:val="28"/>
        </w:rPr>
        <w:t>, для яких не визначено дату завершення бойових дій (припинення можливості бойових дій) або тимчасової окупації, житло яких, що було для них єдиним місцем проживання, зруйноване або непридатне для проживання внаслідок пошкодження у зв’язку з воєнними (бойовими) діями:</w:t>
      </w:r>
    </w:p>
    <w:p w:rsidR="001D5277" w:rsidRPr="00E16397" w:rsidRDefault="007746AE" w:rsidP="0013168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bookmarkStart w:id="1" w:name="bookmark=id.36ei31r" w:colFirst="0" w:colLast="0"/>
      <w:bookmarkStart w:id="2" w:name="_GoBack"/>
      <w:bookmarkEnd w:id="1"/>
      <w:r w:rsidRPr="00E16397">
        <w:rPr>
          <w:rFonts w:ascii="Times New Roman" w:eastAsia="Times New Roman" w:hAnsi="Times New Roman"/>
          <w:sz w:val="28"/>
          <w:szCs w:val="28"/>
        </w:rPr>
        <w:t>- особи з інвалідністю;</w:t>
      </w:r>
    </w:p>
    <w:p w:rsidR="001D5277" w:rsidRPr="00E16397" w:rsidRDefault="007746AE" w:rsidP="0013168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bookmarkStart w:id="3" w:name="bookmark=id.1ljsd9k" w:colFirst="0" w:colLast="0"/>
      <w:bookmarkEnd w:id="3"/>
      <w:r w:rsidRPr="00E16397">
        <w:rPr>
          <w:rFonts w:ascii="Times New Roman" w:eastAsia="Times New Roman" w:hAnsi="Times New Roman"/>
          <w:sz w:val="28"/>
          <w:szCs w:val="28"/>
        </w:rPr>
        <w:t>- особи віком понад 60 років;</w:t>
      </w:r>
    </w:p>
    <w:p w:rsidR="001D5277" w:rsidRPr="00E16397" w:rsidRDefault="007746AE" w:rsidP="0013168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bookmarkStart w:id="4" w:name="bookmark=id.45jfvxd" w:colFirst="0" w:colLast="0"/>
      <w:bookmarkEnd w:id="4"/>
      <w:r w:rsidRPr="00E16397">
        <w:rPr>
          <w:rFonts w:ascii="Times New Roman" w:eastAsia="Times New Roman" w:hAnsi="Times New Roman"/>
          <w:sz w:val="28"/>
          <w:szCs w:val="28"/>
        </w:rPr>
        <w:t>- особи із числа дітей-сиріт та дітей, позбавлених батьківського піклування;</w:t>
      </w:r>
    </w:p>
    <w:p w:rsidR="001D5277" w:rsidRPr="00E16397" w:rsidRDefault="007746AE" w:rsidP="0013168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bookmarkStart w:id="5" w:name="bookmark=id.2koq656" w:colFirst="0" w:colLast="0"/>
      <w:bookmarkEnd w:id="5"/>
      <w:r w:rsidRPr="00E16397">
        <w:rPr>
          <w:rFonts w:ascii="Times New Roman" w:eastAsia="Times New Roman" w:hAnsi="Times New Roman"/>
          <w:sz w:val="28"/>
          <w:szCs w:val="28"/>
        </w:rPr>
        <w:t>- особи, які самостійно виховують дитину (дітей) віком до 18 років;</w:t>
      </w:r>
    </w:p>
    <w:p w:rsidR="001D5277" w:rsidRPr="00E16397" w:rsidRDefault="007746AE" w:rsidP="0013168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bookmarkStart w:id="6" w:name="bookmark=id.zu0gcz" w:colFirst="0" w:colLast="0"/>
      <w:bookmarkEnd w:id="6"/>
      <w:r w:rsidRPr="00E16397">
        <w:rPr>
          <w:rFonts w:ascii="Times New Roman" w:eastAsia="Times New Roman" w:hAnsi="Times New Roman"/>
          <w:sz w:val="28"/>
          <w:szCs w:val="28"/>
        </w:rPr>
        <w:t>- особи, які хворіють на рідкісні (</w:t>
      </w:r>
      <w:proofErr w:type="spellStart"/>
      <w:r w:rsidRPr="00E16397">
        <w:rPr>
          <w:rFonts w:ascii="Times New Roman" w:eastAsia="Times New Roman" w:hAnsi="Times New Roman"/>
          <w:sz w:val="28"/>
          <w:szCs w:val="28"/>
        </w:rPr>
        <w:t>орфанні</w:t>
      </w:r>
      <w:proofErr w:type="spellEnd"/>
      <w:r w:rsidRPr="00E16397">
        <w:rPr>
          <w:rFonts w:ascii="Times New Roman" w:eastAsia="Times New Roman" w:hAnsi="Times New Roman"/>
          <w:sz w:val="28"/>
          <w:szCs w:val="28"/>
        </w:rPr>
        <w:t xml:space="preserve">) захворювання, визначені </w:t>
      </w:r>
      <w:hyperlink r:id="rId9" w:anchor="n14">
        <w:r w:rsidRPr="00E16397">
          <w:rPr>
            <w:rFonts w:ascii="Times New Roman" w:eastAsia="Times New Roman" w:hAnsi="Times New Roman"/>
            <w:sz w:val="28"/>
            <w:szCs w:val="28"/>
          </w:rPr>
          <w:t>переліком рідкісних (</w:t>
        </w:r>
        <w:proofErr w:type="spellStart"/>
        <w:r w:rsidRPr="00E16397">
          <w:rPr>
            <w:rFonts w:ascii="Times New Roman" w:eastAsia="Times New Roman" w:hAnsi="Times New Roman"/>
            <w:sz w:val="28"/>
            <w:szCs w:val="28"/>
          </w:rPr>
          <w:t>орфанних</w:t>
        </w:r>
        <w:proofErr w:type="spellEnd"/>
        <w:r w:rsidRPr="00E16397">
          <w:rPr>
            <w:rFonts w:ascii="Times New Roman" w:eastAsia="Times New Roman" w:hAnsi="Times New Roman"/>
            <w:sz w:val="28"/>
            <w:szCs w:val="28"/>
          </w:rPr>
          <w:t xml:space="preserve">) захворювань, що призводять до скорочення тривалості життя хворих або їх </w:t>
        </w:r>
        <w:proofErr w:type="spellStart"/>
        <w:r w:rsidRPr="00E16397">
          <w:rPr>
            <w:rFonts w:ascii="Times New Roman" w:eastAsia="Times New Roman" w:hAnsi="Times New Roman"/>
            <w:sz w:val="28"/>
            <w:szCs w:val="28"/>
          </w:rPr>
          <w:t>інвалідизації</w:t>
        </w:r>
        <w:proofErr w:type="spellEnd"/>
        <w:r w:rsidRPr="00E16397">
          <w:rPr>
            <w:rFonts w:ascii="Times New Roman" w:eastAsia="Times New Roman" w:hAnsi="Times New Roman"/>
            <w:sz w:val="28"/>
            <w:szCs w:val="28"/>
          </w:rPr>
          <w:t xml:space="preserve"> та для яких існують визнані методи лікування</w:t>
        </w:r>
      </w:hyperlink>
      <w:r w:rsidRPr="00E16397">
        <w:rPr>
          <w:rFonts w:ascii="Times New Roman" w:eastAsia="Times New Roman" w:hAnsi="Times New Roman"/>
          <w:sz w:val="28"/>
          <w:szCs w:val="28"/>
        </w:rPr>
        <w:t>, затвердженим наказом МОЗ від 27 жовтня 2014 р. № 778;</w:t>
      </w:r>
    </w:p>
    <w:p w:rsidR="001D5277" w:rsidRPr="00E16397" w:rsidRDefault="007746AE" w:rsidP="0013168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bookmarkStart w:id="7" w:name="bookmark=id.3jtnz0s" w:colFirst="0" w:colLast="0"/>
      <w:bookmarkEnd w:id="7"/>
      <w:r w:rsidRPr="00E16397">
        <w:rPr>
          <w:rFonts w:ascii="Times New Roman" w:eastAsia="Times New Roman" w:hAnsi="Times New Roman"/>
          <w:sz w:val="28"/>
          <w:szCs w:val="28"/>
        </w:rPr>
        <w:t>- сім’ї з дітьми, сім’ї опікунів, піклувальників, у яких:</w:t>
      </w:r>
    </w:p>
    <w:p w:rsidR="001D5277" w:rsidRPr="00E16397" w:rsidRDefault="007746AE" w:rsidP="0013168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bookmarkStart w:id="8" w:name="bookmark=id.1yyy98l" w:colFirst="0" w:colLast="0"/>
      <w:bookmarkEnd w:id="8"/>
      <w:r w:rsidRPr="00E16397">
        <w:rPr>
          <w:rFonts w:ascii="Times New Roman" w:eastAsia="Times New Roman" w:hAnsi="Times New Roman"/>
          <w:sz w:val="28"/>
          <w:szCs w:val="28"/>
        </w:rPr>
        <w:t>- виховуються діти з інвалідністю;</w:t>
      </w:r>
    </w:p>
    <w:p w:rsidR="001D5277" w:rsidRPr="00E16397" w:rsidRDefault="007746AE" w:rsidP="0013168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bookmarkStart w:id="9" w:name="bookmark=id.4iylrwe" w:colFirst="0" w:colLast="0"/>
      <w:bookmarkEnd w:id="9"/>
      <w:r w:rsidRPr="00E16397">
        <w:rPr>
          <w:rFonts w:ascii="Times New Roman" w:eastAsia="Times New Roman" w:hAnsi="Times New Roman"/>
          <w:sz w:val="28"/>
          <w:szCs w:val="28"/>
        </w:rPr>
        <w:t>- перебуває на утриманні повнолітня дитина, яка є особою з інвалідністю І чи II групи;</w:t>
      </w:r>
    </w:p>
    <w:p w:rsidR="001D5277" w:rsidRPr="00E16397" w:rsidRDefault="007746AE" w:rsidP="0013168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bookmarkStart w:id="10" w:name="bookmark=id.2y3w247" w:colFirst="0" w:colLast="0"/>
      <w:bookmarkEnd w:id="10"/>
      <w:r w:rsidRPr="00E16397">
        <w:rPr>
          <w:rFonts w:ascii="Times New Roman" w:eastAsia="Times New Roman" w:hAnsi="Times New Roman"/>
          <w:sz w:val="28"/>
          <w:szCs w:val="28"/>
        </w:rPr>
        <w:t>- проживає/перебуває на утриманні особа, визнана судом недієздатною;</w:t>
      </w:r>
    </w:p>
    <w:p w:rsidR="001D5277" w:rsidRPr="00E16397" w:rsidRDefault="007746AE" w:rsidP="0013168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bookmarkStart w:id="11" w:name="bookmark=id.1d96cc0" w:colFirst="0" w:colLast="0"/>
      <w:bookmarkEnd w:id="11"/>
      <w:r w:rsidRPr="00E16397">
        <w:rPr>
          <w:rFonts w:ascii="Times New Roman" w:eastAsia="Times New Roman" w:hAnsi="Times New Roman"/>
          <w:sz w:val="28"/>
          <w:szCs w:val="28"/>
        </w:rPr>
        <w:t>- батьки (один із батьків) мають інвалідність;</w:t>
      </w:r>
    </w:p>
    <w:p w:rsidR="001D5277" w:rsidRPr="00E16397" w:rsidRDefault="007746AE" w:rsidP="0013168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bookmarkStart w:id="12" w:name="bookmark=id.3x8tuzt" w:colFirst="0" w:colLast="0"/>
      <w:bookmarkEnd w:id="12"/>
      <w:r w:rsidRPr="00E16397">
        <w:rPr>
          <w:rFonts w:ascii="Times New Roman" w:eastAsia="Times New Roman" w:hAnsi="Times New Roman"/>
          <w:sz w:val="28"/>
          <w:szCs w:val="28"/>
        </w:rPr>
        <w:t xml:space="preserve">- сім’ї військовослужбовців,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 до складу яких можуть належати </w:t>
      </w:r>
      <w:r w:rsidRPr="00E16397">
        <w:rPr>
          <w:rFonts w:ascii="Times New Roman" w:eastAsia="Times New Roman" w:hAnsi="Times New Roman"/>
          <w:sz w:val="28"/>
          <w:szCs w:val="28"/>
        </w:rPr>
        <w:lastRenderedPageBreak/>
        <w:t>чоловік/дружина, діти, батьки, а також інші особи, які перебувають на їх утриманні;</w:t>
      </w:r>
    </w:p>
    <w:p w:rsidR="001D5277" w:rsidRPr="00E16397" w:rsidRDefault="007746AE" w:rsidP="0013168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bookmarkStart w:id="13" w:name="bookmark=id.2ce457m" w:colFirst="0" w:colLast="0"/>
      <w:bookmarkEnd w:id="13"/>
      <w:r w:rsidRPr="00E16397">
        <w:rPr>
          <w:rFonts w:ascii="Times New Roman" w:eastAsia="Times New Roman" w:hAnsi="Times New Roman"/>
          <w:sz w:val="28"/>
          <w:szCs w:val="28"/>
        </w:rPr>
        <w:t>- багатодітні сім’ї;</w:t>
      </w:r>
    </w:p>
    <w:p w:rsidR="001D5277" w:rsidRPr="00E16397" w:rsidRDefault="007746AE" w:rsidP="0013168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bookmarkStart w:id="14" w:name="bookmark=id.rjefff" w:colFirst="0" w:colLast="0"/>
      <w:bookmarkEnd w:id="14"/>
      <w:r w:rsidRPr="00E16397">
        <w:rPr>
          <w:rFonts w:ascii="Times New Roman" w:eastAsia="Times New Roman" w:hAnsi="Times New Roman"/>
          <w:sz w:val="28"/>
          <w:szCs w:val="28"/>
        </w:rPr>
        <w:t>- малозабезпечені сім’ї;</w:t>
      </w:r>
    </w:p>
    <w:p w:rsidR="001D5277" w:rsidRPr="00E16397" w:rsidRDefault="007746AE" w:rsidP="0013168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bookmarkStart w:id="15" w:name="bookmark=id.3bj1y38" w:colFirst="0" w:colLast="0"/>
      <w:bookmarkEnd w:id="15"/>
      <w:r w:rsidRPr="00E16397">
        <w:rPr>
          <w:rFonts w:ascii="Times New Roman" w:eastAsia="Times New Roman" w:hAnsi="Times New Roman"/>
          <w:sz w:val="28"/>
          <w:szCs w:val="28"/>
        </w:rPr>
        <w:t>- сім’ї патронатних вихователів;</w:t>
      </w:r>
    </w:p>
    <w:p w:rsidR="001D5277" w:rsidRPr="00E16397" w:rsidRDefault="007746AE" w:rsidP="0013168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bookmarkStart w:id="16" w:name="bookmark=id.1qoc8b1" w:colFirst="0" w:colLast="0"/>
      <w:bookmarkEnd w:id="16"/>
      <w:r w:rsidRPr="00E16397">
        <w:rPr>
          <w:rFonts w:ascii="Times New Roman" w:eastAsia="Times New Roman" w:hAnsi="Times New Roman"/>
          <w:sz w:val="28"/>
          <w:szCs w:val="28"/>
        </w:rPr>
        <w:t>- прийомні сім’ї;</w:t>
      </w:r>
    </w:p>
    <w:p w:rsidR="001D5277" w:rsidRPr="00E16397" w:rsidRDefault="007746AE" w:rsidP="0013168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bookmarkStart w:id="17" w:name="bookmark=id.4anzqyu" w:colFirst="0" w:colLast="0"/>
      <w:bookmarkEnd w:id="17"/>
      <w:r w:rsidRPr="00E16397">
        <w:rPr>
          <w:rFonts w:ascii="Times New Roman" w:eastAsia="Times New Roman" w:hAnsi="Times New Roman"/>
          <w:sz w:val="28"/>
          <w:szCs w:val="28"/>
        </w:rPr>
        <w:t>- дитячі будинки сімейного типу.</w:t>
      </w:r>
    </w:p>
    <w:p w:rsidR="00957889" w:rsidRDefault="00957889" w:rsidP="0013168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p>
    <w:bookmarkEnd w:id="2"/>
    <w:p w:rsidR="00E16397" w:rsidRDefault="00E1639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p>
    <w:p w:rsidR="00E16397" w:rsidRDefault="00E1639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p>
    <w:p w:rsidR="00E16397" w:rsidRPr="00E16397" w:rsidRDefault="00E1639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sz w:val="28"/>
          <w:szCs w:val="28"/>
        </w:rPr>
      </w:pPr>
    </w:p>
    <w:p w:rsidR="00957889" w:rsidRPr="00E16397" w:rsidRDefault="00957889" w:rsidP="00957889">
      <w:pPr>
        <w:pBdr>
          <w:top w:val="nil"/>
          <w:left w:val="nil"/>
          <w:bottom w:val="nil"/>
          <w:right w:val="nil"/>
          <w:between w:val="nil"/>
        </w:pBdr>
        <w:shd w:val="clear" w:color="auto" w:fill="FFFFFF"/>
        <w:spacing w:after="0" w:line="240" w:lineRule="auto"/>
        <w:jc w:val="both"/>
        <w:rPr>
          <w:rFonts w:ascii="Times New Roman" w:eastAsia="Times New Roman" w:hAnsi="Times New Roman"/>
          <w:sz w:val="28"/>
          <w:szCs w:val="28"/>
        </w:rPr>
      </w:pPr>
      <w:r w:rsidRPr="00E16397">
        <w:rPr>
          <w:rFonts w:ascii="Times New Roman" w:eastAsia="Times New Roman" w:hAnsi="Times New Roman"/>
          <w:sz w:val="28"/>
          <w:szCs w:val="28"/>
        </w:rPr>
        <w:t xml:space="preserve">Секретар міської ради                                               </w:t>
      </w:r>
      <w:r w:rsidRPr="00E16397">
        <w:rPr>
          <w:rFonts w:ascii="Times New Roman" w:eastAsia="Times New Roman" w:hAnsi="Times New Roman"/>
          <w:sz w:val="28"/>
          <w:szCs w:val="28"/>
        </w:rPr>
        <w:tab/>
        <w:t>Олег БАБІЙ</w:t>
      </w:r>
    </w:p>
    <w:sectPr w:rsidR="00957889" w:rsidRPr="00E16397" w:rsidSect="00C93841">
      <w:headerReference w:type="default" r:id="rId10"/>
      <w:footerReference w:type="default" r:id="rId11"/>
      <w:pgSz w:w="11906" w:h="16838"/>
      <w:pgMar w:top="1134" w:right="567"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9A2" w:rsidRDefault="002149A2">
      <w:pPr>
        <w:spacing w:after="0" w:line="240" w:lineRule="auto"/>
      </w:pPr>
      <w:r>
        <w:separator/>
      </w:r>
    </w:p>
  </w:endnote>
  <w:endnote w:type="continuationSeparator" w:id="0">
    <w:p w:rsidR="002149A2" w:rsidRDefault="0021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dos Stencil">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77" w:rsidRDefault="001D5277">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9A2" w:rsidRDefault="002149A2">
      <w:pPr>
        <w:spacing w:after="0" w:line="240" w:lineRule="auto"/>
      </w:pPr>
      <w:r>
        <w:separator/>
      </w:r>
    </w:p>
  </w:footnote>
  <w:footnote w:type="continuationSeparator" w:id="0">
    <w:p w:rsidR="002149A2" w:rsidRDefault="00214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117417"/>
      <w:docPartObj>
        <w:docPartGallery w:val="Page Numbers (Top of Page)"/>
        <w:docPartUnique/>
      </w:docPartObj>
    </w:sdtPr>
    <w:sdtEndPr/>
    <w:sdtContent>
      <w:p w:rsidR="00C93841" w:rsidRDefault="00C93841">
        <w:pPr>
          <w:pStyle w:val="aa"/>
          <w:jc w:val="center"/>
        </w:pPr>
        <w:r>
          <w:fldChar w:fldCharType="begin"/>
        </w:r>
        <w:r>
          <w:instrText>PAGE   \* MERGEFORMAT</w:instrText>
        </w:r>
        <w:r>
          <w:fldChar w:fldCharType="separate"/>
        </w:r>
        <w:r w:rsidR="0013168D" w:rsidRPr="0013168D">
          <w:rPr>
            <w:noProof/>
            <w:lang w:val="ru-RU"/>
          </w:rPr>
          <w:t>2</w:t>
        </w:r>
        <w:r>
          <w:fldChar w:fldCharType="end"/>
        </w:r>
      </w:p>
    </w:sdtContent>
  </w:sdt>
  <w:p w:rsidR="00C93841" w:rsidRDefault="00C93841">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6A98"/>
    <w:multiLevelType w:val="multilevel"/>
    <w:tmpl w:val="3A181E3A"/>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27CB5030"/>
    <w:multiLevelType w:val="multilevel"/>
    <w:tmpl w:val="F3DE41D2"/>
    <w:lvl w:ilvl="0">
      <w:start w:val="1"/>
      <w:numFmt w:val="bullet"/>
      <w:lvlText w:val="-"/>
      <w:lvlJc w:val="left"/>
      <w:pPr>
        <w:ind w:left="720" w:hanging="360"/>
      </w:pPr>
      <w:rPr>
        <w:rFonts w:ascii="Stardos Stencil" w:eastAsia="Stardos Stencil" w:hAnsi="Stardos Stencil" w:cs="Stardos Stenci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817A96"/>
    <w:multiLevelType w:val="multilevel"/>
    <w:tmpl w:val="2C60E500"/>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3C677724"/>
    <w:multiLevelType w:val="multilevel"/>
    <w:tmpl w:val="D7904166"/>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 w15:restartNumberingAfterBreak="0">
    <w:nsid w:val="495508C8"/>
    <w:multiLevelType w:val="multilevel"/>
    <w:tmpl w:val="3B467DA8"/>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5" w15:restartNumberingAfterBreak="0">
    <w:nsid w:val="6B4743A6"/>
    <w:multiLevelType w:val="multilevel"/>
    <w:tmpl w:val="DD4E8838"/>
    <w:lvl w:ilvl="0">
      <w:start w:val="1"/>
      <w:numFmt w:val="bullet"/>
      <w:lvlText w:val="-"/>
      <w:lvlJc w:val="left"/>
      <w:pPr>
        <w:ind w:left="502" w:hanging="360"/>
      </w:pPr>
      <w:rPr>
        <w:rFonts w:ascii="Stardos Stencil" w:eastAsia="Stardos Stencil" w:hAnsi="Stardos Stencil" w:cs="Stardos Stenci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277"/>
    <w:rsid w:val="0001072D"/>
    <w:rsid w:val="00020560"/>
    <w:rsid w:val="00065D2F"/>
    <w:rsid w:val="00126FDE"/>
    <w:rsid w:val="0013168D"/>
    <w:rsid w:val="001925AD"/>
    <w:rsid w:val="001A3523"/>
    <w:rsid w:val="001D5277"/>
    <w:rsid w:val="002149A2"/>
    <w:rsid w:val="002507A0"/>
    <w:rsid w:val="002F09C7"/>
    <w:rsid w:val="002F19AE"/>
    <w:rsid w:val="0030769D"/>
    <w:rsid w:val="003B4878"/>
    <w:rsid w:val="003F23C7"/>
    <w:rsid w:val="00450520"/>
    <w:rsid w:val="00494B93"/>
    <w:rsid w:val="004D06D2"/>
    <w:rsid w:val="006067B4"/>
    <w:rsid w:val="007261FF"/>
    <w:rsid w:val="007746AE"/>
    <w:rsid w:val="007875CC"/>
    <w:rsid w:val="007B7426"/>
    <w:rsid w:val="008077E0"/>
    <w:rsid w:val="0082196E"/>
    <w:rsid w:val="008F19FF"/>
    <w:rsid w:val="00957889"/>
    <w:rsid w:val="009E1F4B"/>
    <w:rsid w:val="00A53E85"/>
    <w:rsid w:val="00AA21AE"/>
    <w:rsid w:val="00B4155C"/>
    <w:rsid w:val="00BF7D2D"/>
    <w:rsid w:val="00C93841"/>
    <w:rsid w:val="00CC4FA1"/>
    <w:rsid w:val="00D53C8C"/>
    <w:rsid w:val="00DD1405"/>
    <w:rsid w:val="00E0754C"/>
    <w:rsid w:val="00E16397"/>
    <w:rsid w:val="00E6326D"/>
    <w:rsid w:val="00F81C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C2F05-06D9-41EB-BA2C-EF9BD26C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50E"/>
    <w:rPr>
      <w:rFonts w:eastAsiaTheme="minorEastAsia" w:cs="Times New Roman"/>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No Spacing"/>
    <w:uiPriority w:val="1"/>
    <w:qFormat/>
    <w:rsid w:val="006D3BBC"/>
    <w:pPr>
      <w:spacing w:after="0" w:line="240" w:lineRule="auto"/>
    </w:pPr>
    <w:rPr>
      <w:rFonts w:eastAsiaTheme="minorEastAsia" w:cs="Times New Roman"/>
    </w:rPr>
  </w:style>
  <w:style w:type="paragraph" w:styleId="a5">
    <w:name w:val="Balloon Text"/>
    <w:basedOn w:val="a"/>
    <w:link w:val="a6"/>
    <w:uiPriority w:val="99"/>
    <w:semiHidden/>
    <w:unhideWhenUsed/>
    <w:rsid w:val="00623D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3D1A"/>
    <w:rPr>
      <w:rFonts w:ascii="Tahoma" w:eastAsiaTheme="minorEastAsia" w:hAnsi="Tahoma" w:cs="Tahoma"/>
      <w:sz w:val="16"/>
      <w:szCs w:val="16"/>
      <w:lang w:eastAsia="ru-RU"/>
    </w:rPr>
  </w:style>
  <w:style w:type="paragraph" w:styleId="a7">
    <w:name w:val="List Paragraph"/>
    <w:basedOn w:val="a"/>
    <w:uiPriority w:val="34"/>
    <w:qFormat/>
    <w:rsid w:val="00094CCE"/>
    <w:pPr>
      <w:ind w:left="720"/>
      <w:contextualSpacing/>
    </w:pPr>
    <w:rPr>
      <w:rFonts w:cstheme="minorBidi"/>
    </w:rPr>
  </w:style>
  <w:style w:type="paragraph" w:styleId="a8">
    <w:name w:val="Normal (Web)"/>
    <w:basedOn w:val="a"/>
    <w:uiPriority w:val="99"/>
    <w:unhideWhenUsed/>
    <w:rsid w:val="00102DED"/>
    <w:pPr>
      <w:spacing w:before="100" w:beforeAutospacing="1" w:after="100" w:afterAutospacing="1" w:line="240" w:lineRule="auto"/>
    </w:pPr>
    <w:rPr>
      <w:rFonts w:ascii="Times New Roman" w:eastAsia="Times New Roman" w:hAnsi="Times New Roman"/>
      <w:sz w:val="24"/>
      <w:szCs w:val="24"/>
    </w:rPr>
  </w:style>
  <w:style w:type="paragraph" w:customStyle="1" w:styleId="a9">
    <w:name w:val="Нормальний текст"/>
    <w:basedOn w:val="a"/>
    <w:rsid w:val="00102DED"/>
    <w:pPr>
      <w:spacing w:before="120" w:after="0" w:line="240" w:lineRule="auto"/>
      <w:ind w:firstLine="567"/>
    </w:pPr>
    <w:rPr>
      <w:rFonts w:ascii="Antiqua" w:eastAsia="Times New Roman" w:hAnsi="Antiqua"/>
      <w:sz w:val="26"/>
      <w:szCs w:val="20"/>
    </w:rPr>
  </w:style>
  <w:style w:type="paragraph" w:styleId="aa">
    <w:name w:val="header"/>
    <w:basedOn w:val="a"/>
    <w:link w:val="ab"/>
    <w:uiPriority w:val="99"/>
    <w:rsid w:val="00264166"/>
    <w:pPr>
      <w:tabs>
        <w:tab w:val="center" w:pos="4677"/>
        <w:tab w:val="right" w:pos="9355"/>
      </w:tabs>
      <w:spacing w:after="0" w:line="240" w:lineRule="auto"/>
    </w:pPr>
    <w:rPr>
      <w:rFonts w:ascii="Times New Roman" w:eastAsia="Times New Roman" w:hAnsi="Times New Roman"/>
      <w:sz w:val="24"/>
      <w:szCs w:val="24"/>
      <w:lang w:eastAsia="uk-UA"/>
    </w:rPr>
  </w:style>
  <w:style w:type="character" w:customStyle="1" w:styleId="ab">
    <w:name w:val="Верхний колонтитул Знак"/>
    <w:basedOn w:val="a0"/>
    <w:link w:val="aa"/>
    <w:uiPriority w:val="99"/>
    <w:rsid w:val="00264166"/>
    <w:rPr>
      <w:rFonts w:ascii="Times New Roman" w:eastAsia="Times New Roman" w:hAnsi="Times New Roman" w:cs="Times New Roman"/>
      <w:sz w:val="24"/>
      <w:szCs w:val="24"/>
      <w:lang w:val="uk-UA" w:eastAsia="uk-UA"/>
    </w:rPr>
  </w:style>
  <w:style w:type="paragraph" w:styleId="ac">
    <w:name w:val="Body Text"/>
    <w:basedOn w:val="a"/>
    <w:link w:val="ad"/>
    <w:rsid w:val="00264166"/>
    <w:pPr>
      <w:spacing w:after="0" w:line="240" w:lineRule="auto"/>
      <w:jc w:val="both"/>
    </w:pPr>
    <w:rPr>
      <w:rFonts w:ascii="Bookman Old Style" w:eastAsia="Times New Roman" w:hAnsi="Bookman Old Style"/>
      <w:sz w:val="26"/>
      <w:szCs w:val="24"/>
      <w:lang w:eastAsia="uk-UA"/>
    </w:rPr>
  </w:style>
  <w:style w:type="character" w:customStyle="1" w:styleId="ad">
    <w:name w:val="Основной текст Знак"/>
    <w:basedOn w:val="a0"/>
    <w:link w:val="ac"/>
    <w:rsid w:val="00264166"/>
    <w:rPr>
      <w:rFonts w:ascii="Bookman Old Style" w:eastAsia="Times New Roman" w:hAnsi="Bookman Old Style" w:cs="Times New Roman"/>
      <w:sz w:val="26"/>
      <w:szCs w:val="24"/>
      <w:lang w:val="uk-UA" w:eastAsia="uk-UA"/>
    </w:rPr>
  </w:style>
  <w:style w:type="character" w:styleId="ae">
    <w:name w:val="Strong"/>
    <w:basedOn w:val="a0"/>
    <w:uiPriority w:val="22"/>
    <w:qFormat/>
    <w:rsid w:val="00BA6E3E"/>
    <w:rPr>
      <w:b/>
      <w:bCs/>
    </w:rPr>
  </w:style>
  <w:style w:type="character" w:styleId="af">
    <w:name w:val="Emphasis"/>
    <w:basedOn w:val="a0"/>
    <w:uiPriority w:val="20"/>
    <w:qFormat/>
    <w:rsid w:val="00E73C7A"/>
    <w:rPr>
      <w:i/>
      <w:iCs/>
    </w:rPr>
  </w:style>
  <w:style w:type="paragraph" w:customStyle="1" w:styleId="rvps2">
    <w:name w:val="rvps2"/>
    <w:basedOn w:val="a"/>
    <w:rsid w:val="00A134E6"/>
    <w:pPr>
      <w:spacing w:before="100" w:beforeAutospacing="1" w:after="100" w:afterAutospacing="1" w:line="240" w:lineRule="auto"/>
    </w:pPr>
    <w:rPr>
      <w:rFonts w:ascii="Times New Roman" w:eastAsia="Times New Roman" w:hAnsi="Times New Roman"/>
      <w:sz w:val="24"/>
      <w:szCs w:val="24"/>
      <w:lang w:eastAsia="uk-UA"/>
    </w:rPr>
  </w:style>
  <w:style w:type="character" w:styleId="af0">
    <w:name w:val="Hyperlink"/>
    <w:basedOn w:val="a0"/>
    <w:uiPriority w:val="99"/>
    <w:unhideWhenUsed/>
    <w:rsid w:val="00A134E6"/>
    <w:rPr>
      <w:color w:val="0000FF"/>
      <w:u w:val="single"/>
    </w:rPr>
  </w:style>
  <w:style w:type="character" w:customStyle="1" w:styleId="rvts37">
    <w:name w:val="rvts37"/>
    <w:basedOn w:val="a0"/>
    <w:rsid w:val="00A134E6"/>
  </w:style>
  <w:style w:type="character" w:customStyle="1" w:styleId="rvts46">
    <w:name w:val="rvts46"/>
    <w:basedOn w:val="a0"/>
    <w:rsid w:val="00A134E6"/>
  </w:style>
  <w:style w:type="table" w:styleId="af1">
    <w:name w:val="Table Grid"/>
    <w:basedOn w:val="a1"/>
    <w:uiPriority w:val="39"/>
    <w:unhideWhenUsed/>
    <w:rsid w:val="00652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08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0864A1"/>
    <w:rPr>
      <w:rFonts w:ascii="Courier New" w:eastAsia="Times New Roman" w:hAnsi="Courier New" w:cs="Courier New"/>
      <w:sz w:val="20"/>
      <w:szCs w:val="20"/>
      <w:lang w:val="uk-UA" w:eastAsia="uk-UA"/>
    </w:rPr>
  </w:style>
  <w:style w:type="paragraph" w:styleId="af2">
    <w:name w:val="footer"/>
    <w:basedOn w:val="a"/>
    <w:link w:val="af3"/>
    <w:uiPriority w:val="99"/>
    <w:unhideWhenUsed/>
    <w:rsid w:val="002259A7"/>
    <w:pPr>
      <w:tabs>
        <w:tab w:val="center" w:pos="4819"/>
        <w:tab w:val="right" w:pos="9639"/>
      </w:tabs>
      <w:spacing w:after="0" w:line="240" w:lineRule="auto"/>
    </w:pPr>
  </w:style>
  <w:style w:type="character" w:customStyle="1" w:styleId="af3">
    <w:name w:val="Нижний колонтитул Знак"/>
    <w:basedOn w:val="a0"/>
    <w:link w:val="af2"/>
    <w:uiPriority w:val="99"/>
    <w:rsid w:val="002259A7"/>
    <w:rPr>
      <w:rFonts w:eastAsiaTheme="minorEastAsia" w:cs="Times New Roman"/>
      <w:lang w:eastAsia="ru-RU"/>
    </w:rPr>
  </w:style>
  <w:style w:type="character" w:customStyle="1" w:styleId="rvts9">
    <w:name w:val="rvts9"/>
    <w:basedOn w:val="a0"/>
    <w:rsid w:val="00E9242B"/>
  </w:style>
  <w:style w:type="paragraph" w:styleId="af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TableNormal2"/>
    <w:pPr>
      <w:spacing w:after="0" w:line="240" w:lineRule="auto"/>
    </w:pPr>
    <w:tblPr>
      <w:tblStyleRowBandSize w:val="1"/>
      <w:tblStyleColBandSize w:val="1"/>
      <w:tblCellMar>
        <w:left w:w="108" w:type="dxa"/>
        <w:right w:w="108" w:type="dxa"/>
      </w:tblCellMar>
    </w:tblPr>
  </w:style>
  <w:style w:type="table" w:customStyle="1" w:styleId="af6">
    <w:basedOn w:val="TableNormal2"/>
    <w:pPr>
      <w:spacing w:after="0" w:line="240" w:lineRule="auto"/>
    </w:pPr>
    <w:tblPr>
      <w:tblStyleRowBandSize w:val="1"/>
      <w:tblStyleColBandSize w:val="1"/>
      <w:tblCellMar>
        <w:left w:w="108" w:type="dxa"/>
        <w:right w:w="108" w:type="dxa"/>
      </w:tblCellMar>
    </w:tblPr>
  </w:style>
  <w:style w:type="table" w:customStyle="1" w:styleId="af7">
    <w:basedOn w:val="TableNormal2"/>
    <w:pPr>
      <w:spacing w:after="0" w:line="240" w:lineRule="auto"/>
    </w:pPr>
    <w:tblPr>
      <w:tblStyleRowBandSize w:val="1"/>
      <w:tblStyleColBandSize w:val="1"/>
      <w:tblCellMar>
        <w:left w:w="108" w:type="dxa"/>
        <w:right w:w="108" w:type="dxa"/>
      </w:tblCellMar>
    </w:tblPr>
  </w:style>
  <w:style w:type="table" w:customStyle="1" w:styleId="af8">
    <w:basedOn w:val="TableNormal2"/>
    <w:pPr>
      <w:spacing w:after="0" w:line="240" w:lineRule="auto"/>
    </w:pPr>
    <w:tblPr>
      <w:tblStyleRowBandSize w:val="1"/>
      <w:tblStyleColBandSize w:val="1"/>
      <w:tblCellMar>
        <w:left w:w="108" w:type="dxa"/>
        <w:right w:w="108" w:type="dxa"/>
      </w:tblCellMar>
    </w:tblPr>
  </w:style>
  <w:style w:type="table" w:customStyle="1" w:styleId="af9">
    <w:basedOn w:val="TableNormal2"/>
    <w:pPr>
      <w:spacing w:after="0" w:line="240" w:lineRule="auto"/>
    </w:pPr>
    <w:tblPr>
      <w:tblStyleRowBandSize w:val="1"/>
      <w:tblStyleColBandSize w:val="1"/>
      <w:tblCellMar>
        <w:left w:w="108" w:type="dxa"/>
        <w:right w:w="108" w:type="dxa"/>
      </w:tblCellMar>
    </w:tblPr>
  </w:style>
  <w:style w:type="table" w:customStyle="1" w:styleId="afa">
    <w:basedOn w:val="TableNormal2"/>
    <w:pPr>
      <w:spacing w:after="0" w:line="240" w:lineRule="auto"/>
    </w:pPr>
    <w:tblPr>
      <w:tblStyleRowBandSize w:val="1"/>
      <w:tblStyleColBandSize w:val="1"/>
      <w:tblCellMar>
        <w:left w:w="108" w:type="dxa"/>
        <w:right w:w="108" w:type="dxa"/>
      </w:tblCellMar>
    </w:tblPr>
  </w:style>
  <w:style w:type="table" w:customStyle="1" w:styleId="afb">
    <w:basedOn w:val="TableNormal2"/>
    <w:pPr>
      <w:spacing w:after="0" w:line="240" w:lineRule="auto"/>
    </w:pPr>
    <w:tblPr>
      <w:tblStyleRowBandSize w:val="1"/>
      <w:tblStyleColBandSize w:val="1"/>
      <w:tblCellMar>
        <w:left w:w="108" w:type="dxa"/>
        <w:right w:w="108" w:type="dxa"/>
      </w:tblCellMar>
    </w:tblPr>
  </w:style>
  <w:style w:type="table" w:customStyle="1" w:styleId="afc">
    <w:basedOn w:val="TableNormal2"/>
    <w:pPr>
      <w:spacing w:after="0" w:line="240" w:lineRule="auto"/>
    </w:pPr>
    <w:tblPr>
      <w:tblStyleRowBandSize w:val="1"/>
      <w:tblStyleColBandSize w:val="1"/>
      <w:tblCellMar>
        <w:left w:w="108" w:type="dxa"/>
        <w:right w:w="108" w:type="dxa"/>
      </w:tblCellMar>
    </w:tblPr>
  </w:style>
  <w:style w:type="table" w:customStyle="1" w:styleId="afd">
    <w:basedOn w:val="TableNormal2"/>
    <w:pPr>
      <w:spacing w:after="0" w:line="240" w:lineRule="auto"/>
    </w:pPr>
    <w:tblPr>
      <w:tblStyleRowBandSize w:val="1"/>
      <w:tblStyleColBandSize w:val="1"/>
      <w:tblCellMar>
        <w:left w:w="108" w:type="dxa"/>
        <w:right w:w="108" w:type="dxa"/>
      </w:tblCellMar>
    </w:tblPr>
  </w:style>
  <w:style w:type="table" w:customStyle="1" w:styleId="afe">
    <w:basedOn w:val="TableNormal2"/>
    <w:pPr>
      <w:spacing w:after="0" w:line="240" w:lineRule="auto"/>
    </w:pPr>
    <w:tblPr>
      <w:tblStyleRowBandSize w:val="1"/>
      <w:tblStyleColBandSize w:val="1"/>
      <w:tblCellMar>
        <w:left w:w="108" w:type="dxa"/>
        <w:right w:w="108" w:type="dxa"/>
      </w:tblCellMar>
    </w:tblPr>
  </w:style>
  <w:style w:type="table" w:customStyle="1" w:styleId="aff">
    <w:basedOn w:val="TableNormal2"/>
    <w:pPr>
      <w:spacing w:after="0" w:line="240" w:lineRule="auto"/>
    </w:pPr>
    <w:tblPr>
      <w:tblStyleRowBandSize w:val="1"/>
      <w:tblStyleColBandSize w:val="1"/>
      <w:tblCellMar>
        <w:left w:w="108" w:type="dxa"/>
        <w:right w:w="108" w:type="dxa"/>
      </w:tblCellMar>
    </w:tblPr>
  </w:style>
  <w:style w:type="table" w:customStyle="1" w:styleId="aff0">
    <w:basedOn w:val="TableNormal2"/>
    <w:pPr>
      <w:spacing w:after="0" w:line="240" w:lineRule="auto"/>
    </w:pPr>
    <w:tblPr>
      <w:tblStyleRowBandSize w:val="1"/>
      <w:tblStyleColBandSize w:val="1"/>
      <w:tblCellMar>
        <w:left w:w="108" w:type="dxa"/>
        <w:right w:w="108" w:type="dxa"/>
      </w:tblCellMar>
    </w:tblPr>
  </w:style>
  <w:style w:type="paragraph" w:customStyle="1" w:styleId="rvps7">
    <w:name w:val="rvps7"/>
    <w:basedOn w:val="a"/>
    <w:rsid w:val="00853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basedOn w:val="a0"/>
    <w:rsid w:val="00853D30"/>
  </w:style>
  <w:style w:type="paragraph" w:customStyle="1" w:styleId="aff1">
    <w:name w:val="Назва документа"/>
    <w:basedOn w:val="a"/>
    <w:next w:val="a9"/>
    <w:rsid w:val="00B92FEF"/>
    <w:pPr>
      <w:keepNext/>
      <w:keepLines/>
      <w:spacing w:before="240" w:after="240" w:line="240" w:lineRule="auto"/>
      <w:jc w:val="center"/>
    </w:pPr>
    <w:rPr>
      <w:rFonts w:ascii="Antiqua" w:eastAsia="Times New Roman" w:hAnsi="Antiqua"/>
      <w:b/>
      <w:sz w:val="26"/>
      <w:szCs w:val="20"/>
    </w:rPr>
  </w:style>
  <w:style w:type="table" w:customStyle="1" w:styleId="aff2">
    <w:basedOn w:val="TableNormal1"/>
    <w:pPr>
      <w:spacing w:after="0" w:line="240" w:lineRule="auto"/>
    </w:pPr>
    <w:tblPr>
      <w:tblStyleRowBandSize w:val="1"/>
      <w:tblStyleColBandSize w:val="1"/>
      <w:tblCellMar>
        <w:left w:w="108" w:type="dxa"/>
        <w:right w:w="108" w:type="dxa"/>
      </w:tblCellMar>
    </w:tblPr>
  </w:style>
  <w:style w:type="table" w:customStyle="1" w:styleId="aff3">
    <w:basedOn w:val="TableNormal1"/>
    <w:pPr>
      <w:spacing w:after="0" w:line="240" w:lineRule="auto"/>
    </w:pPr>
    <w:tblPr>
      <w:tblStyleRowBandSize w:val="1"/>
      <w:tblStyleColBandSize w:val="1"/>
      <w:tblCellMar>
        <w:left w:w="108" w:type="dxa"/>
        <w:right w:w="108"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pPr>
      <w:spacing w:after="0" w:line="240" w:lineRule="auto"/>
    </w:pPr>
    <w:tblPr>
      <w:tblStyleRowBandSize w:val="1"/>
      <w:tblStyleColBandSize w:val="1"/>
      <w:tblCellMar>
        <w:left w:w="108" w:type="dxa"/>
        <w:right w:w="108" w:type="dxa"/>
      </w:tblCellMar>
    </w:tblPr>
  </w:style>
  <w:style w:type="table" w:customStyle="1" w:styleId="aff6">
    <w:basedOn w:val="TableNormal1"/>
    <w:pPr>
      <w:spacing w:after="0" w:line="240" w:lineRule="auto"/>
    </w:pPr>
    <w:tblPr>
      <w:tblStyleRowBandSize w:val="1"/>
      <w:tblStyleColBandSize w:val="1"/>
      <w:tblCellMar>
        <w:left w:w="108" w:type="dxa"/>
        <w:right w:w="108"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character" w:customStyle="1" w:styleId="UnresolvedMention">
    <w:name w:val="Unresolved Mention"/>
    <w:basedOn w:val="a0"/>
    <w:uiPriority w:val="99"/>
    <w:semiHidden/>
    <w:unhideWhenUsed/>
    <w:rsid w:val="00A03EC8"/>
    <w:rPr>
      <w:color w:val="605E5C"/>
      <w:shd w:val="clear" w:color="auto" w:fill="E1DFDD"/>
    </w:rPr>
  </w:style>
  <w:style w:type="table" w:customStyle="1" w:styleId="afff">
    <w:basedOn w:val="TableNormal0"/>
    <w:pPr>
      <w:spacing w:after="0" w:line="240" w:lineRule="auto"/>
    </w:pPr>
    <w:tblPr>
      <w:tblStyleRowBandSize w:val="1"/>
      <w:tblStyleColBandSize w:val="1"/>
      <w:tblCellMar>
        <w:left w:w="108" w:type="dxa"/>
        <w:right w:w="108" w:type="dxa"/>
      </w:tblCellMar>
    </w:tblPr>
  </w:style>
  <w:style w:type="table" w:customStyle="1" w:styleId="afff0">
    <w:basedOn w:val="TableNormal0"/>
    <w:pPr>
      <w:spacing w:after="0" w:line="240" w:lineRule="auto"/>
    </w:pPr>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pPr>
      <w:spacing w:after="0" w:line="240" w:lineRule="auto"/>
    </w:pPr>
    <w:tblPr>
      <w:tblStyleRowBandSize w:val="1"/>
      <w:tblStyleColBandSize w:val="1"/>
      <w:tblCellMar>
        <w:left w:w="108" w:type="dxa"/>
        <w:right w:w="108" w:type="dxa"/>
      </w:tblCellMar>
    </w:tblPr>
  </w:style>
  <w:style w:type="table" w:customStyle="1" w:styleId="afff3">
    <w:basedOn w:val="TableNormal0"/>
    <w:pPr>
      <w:spacing w:after="0" w:line="240" w:lineRule="auto"/>
    </w:pPr>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tblPr>
      <w:tblStyleRowBandSize w:val="1"/>
      <w:tblStyleColBandSize w:val="1"/>
      <w:tblCellMar>
        <w:left w:w="115" w:type="dxa"/>
        <w:right w:w="115" w:type="dxa"/>
      </w:tblCellMar>
    </w:tblPr>
  </w:style>
  <w:style w:type="table" w:customStyle="1" w:styleId="afff6">
    <w:basedOn w:val="TableNormal0"/>
    <w:pPr>
      <w:spacing w:after="0" w:line="240" w:lineRule="auto"/>
    </w:pPr>
    <w:tblPr>
      <w:tblStyleRowBandSize w:val="1"/>
      <w:tblStyleColBandSize w:val="1"/>
      <w:tblCellMar>
        <w:left w:w="108" w:type="dxa"/>
        <w:right w:w="108" w:type="dxa"/>
      </w:tblCellMar>
    </w:tblPr>
  </w:style>
  <w:style w:type="table" w:customStyle="1" w:styleId="afff7">
    <w:basedOn w:val="TableNormal0"/>
    <w:pPr>
      <w:spacing w:after="0" w:line="240" w:lineRule="auto"/>
    </w:pPr>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15" w:type="dxa"/>
        <w:right w:w="115" w:type="dxa"/>
      </w:tblCellMar>
    </w:tblPr>
  </w:style>
  <w:style w:type="table" w:customStyle="1" w:styleId="afff9">
    <w:basedOn w:val="TableNormal0"/>
    <w:tblPr>
      <w:tblStyleRowBandSize w:val="1"/>
      <w:tblStyleColBandSize w:val="1"/>
      <w:tblCellMar>
        <w:left w:w="115" w:type="dxa"/>
        <w:right w:w="115" w:type="dxa"/>
      </w:tblCellMar>
    </w:tblPr>
  </w:style>
  <w:style w:type="table" w:customStyle="1" w:styleId="afffa">
    <w:basedOn w:val="TableNormal0"/>
    <w:pPr>
      <w:spacing w:after="0" w:line="240" w:lineRule="auto"/>
    </w:pPr>
    <w:tblPr>
      <w:tblStyleRowBandSize w:val="1"/>
      <w:tblStyleColBandSize w:val="1"/>
      <w:tblCellMar>
        <w:left w:w="108" w:type="dxa"/>
        <w:right w:w="108" w:type="dxa"/>
      </w:tblCellMar>
    </w:tblPr>
  </w:style>
  <w:style w:type="table" w:customStyle="1" w:styleId="afffb">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038-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z1439-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eJC0m/2fwjn5Gu7HfOV+eQWCw==">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N2YWM1dWYyCmlkLjJhZm1nMjgyCWlkLnBrd3FhMTIKaWQuMzlrazh4dTIKaWQuMW9wdWo1bjIKaWQuNDhwaTF0ZzIKaWQuMm51c2MxOTIKaWQuMTMwMm05MjIKaWQuM216cTR3djIKaWQuMjI1MGY0bzIJaWQuaGFhcGNoMgppZC4zMTl5ODBhMgppZC4xZ2Y4aTgzMgppZC40MGV3MHZ3MgppZC4yZms2YjNwMglpZC51cGdsYmkyCmlkLjNlcDQzemIyCmlkLjF0dWVlNzQyCmlkLjRkdTF3dXgyCmlkLjJzemM3MnEyCmlkLjE4NG1oYWoyCmlkLjNzNDl6eWMyCmlkLjI3OWthNjU4AHIhMWg5MUpya1l4WWtfX1RaS05UbUxDd0pfc1F2WE9hX3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1678</Words>
  <Characters>958</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Користувач Asus</cp:lastModifiedBy>
  <cp:revision>5</cp:revision>
  <dcterms:created xsi:type="dcterms:W3CDTF">2025-08-13T11:33:00Z</dcterms:created>
  <dcterms:modified xsi:type="dcterms:W3CDTF">2025-08-14T05:36:00Z</dcterms:modified>
</cp:coreProperties>
</file>