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0B" w:rsidRDefault="00A0000B" w:rsidP="00A0000B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Додаток 23.</w:t>
      </w:r>
      <w:r w:rsidRPr="001128CB">
        <w:rPr>
          <w:rFonts w:ascii="Times New Roman" w:hAnsi="Times New Roman"/>
          <w:sz w:val="28"/>
          <w:szCs w:val="28"/>
          <w:lang w:eastAsia="zh-CN"/>
        </w:rPr>
        <w:t xml:space="preserve">1 </w:t>
      </w:r>
    </w:p>
    <w:p w:rsidR="00A0000B" w:rsidRPr="001128CB" w:rsidRDefault="00A0000B" w:rsidP="00A0000B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A0000B" w:rsidRPr="001128CB" w:rsidRDefault="00A0000B" w:rsidP="001A3C4D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A0000B" w:rsidRPr="00D51342" w:rsidRDefault="00A0000B" w:rsidP="001A3C4D">
      <w:pPr>
        <w:widowControl w:val="0"/>
        <w:tabs>
          <w:tab w:val="left" w:pos="255"/>
        </w:tabs>
        <w:suppressAutoHyphens/>
        <w:autoSpaceDE w:val="0"/>
        <w:spacing w:after="0"/>
        <w:ind w:firstLine="98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1342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A0000B" w:rsidRPr="001A3C4D" w:rsidRDefault="00A0000B" w:rsidP="001A3C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3C4D">
        <w:rPr>
          <w:rFonts w:ascii="Times New Roman" w:hAnsi="Times New Roman"/>
          <w:b/>
          <w:sz w:val="28"/>
          <w:szCs w:val="28"/>
        </w:rPr>
        <w:t xml:space="preserve">місцевої цільової програми </w:t>
      </w:r>
      <w:r w:rsidRPr="001A3C4D">
        <w:rPr>
          <w:rFonts w:ascii="Times New Roman" w:hAnsi="Times New Roman"/>
          <w:b/>
          <w:bCs/>
          <w:sz w:val="28"/>
          <w:szCs w:val="28"/>
          <w:lang w:eastAsia="ru-RU"/>
        </w:rPr>
        <w:t>«Здорові діти – здорова та успішна нація» Здолбунівської міської територіальної громади на 2025-2027 роки</w:t>
      </w: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5103"/>
      </w:tblGrid>
      <w:tr w:rsidR="00A0000B" w:rsidRPr="00D51342" w:rsidTr="00303EAA">
        <w:trPr>
          <w:trHeight w:val="4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4440E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4440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4440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4440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4440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програми, 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E762F6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  <w:r w:rsidR="00D035FE">
              <w:rPr>
                <w:rFonts w:ascii="Times New Roman" w:hAnsi="Times New Roman"/>
                <w:sz w:val="28"/>
                <w:szCs w:val="28"/>
                <w:lang w:eastAsia="zh-CN"/>
              </w:rPr>
              <w:t> 135 709</w:t>
            </w:r>
            <w:r w:rsidRPr="00E72FE1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  <w:r w:rsidR="002074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20748E" w:rsidRPr="0020748E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2026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="0020748E" w:rsidRPr="0020748E">
              <w:rPr>
                <w:rFonts w:ascii="Times New Roman" w:hAnsi="Times New Roman"/>
                <w:color w:val="000000"/>
                <w:sz w:val="28"/>
                <w:szCs w:val="28"/>
              </w:rPr>
              <w:t>12 121</w:t>
            </w:r>
            <w:r w:rsidR="00AF135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0748E" w:rsidRPr="0020748E">
              <w:rPr>
                <w:rFonts w:ascii="Times New Roman" w:hAnsi="Times New Roman"/>
                <w:color w:val="000000"/>
                <w:sz w:val="28"/>
                <w:szCs w:val="28"/>
              </w:rPr>
              <w:t>509</w:t>
            </w:r>
            <w:r w:rsidR="00AF135D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  <w:p w:rsidR="00A0000B" w:rsidRPr="00E762F6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2027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</w:p>
          <w:p w:rsidR="00A0000B" w:rsidRPr="00E762F6" w:rsidRDefault="00D035FE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  <w:r w:rsidR="0020748E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</w:t>
            </w:r>
            <w:r w:rsidR="0020748E">
              <w:rPr>
                <w:rFonts w:ascii="Times New Roman" w:hAnsi="Times New Roman"/>
                <w:sz w:val="28"/>
                <w:szCs w:val="28"/>
                <w:lang w:eastAsia="zh-CN"/>
              </w:rPr>
              <w:t>944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7</w:t>
            </w:r>
            <w:r w:rsidR="0020748E"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  <w:r w:rsidR="00A0000B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="00A0000B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A0000B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="00A0000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A0000B" w:rsidRPr="00D51342" w:rsidTr="00303EA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7C66E8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A0000B" w:rsidRPr="00D51342" w:rsidTr="00303EA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7C66E8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6 421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</w:t>
            </w: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900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,00 грн.</w:t>
            </w:r>
          </w:p>
        </w:tc>
      </w:tr>
      <w:tr w:rsidR="00A0000B" w:rsidRPr="00D51342" w:rsidTr="00303EA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E762F6" w:rsidRDefault="00385C73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29 522 815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0000B"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</w:tc>
      </w:tr>
      <w:tr w:rsidR="00A0000B" w:rsidRPr="00D51342" w:rsidTr="00303EAA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7C66E8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A0000B" w:rsidRPr="00D51342" w:rsidTr="00303EAA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E762F6" w:rsidRDefault="00385C73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29 522 815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</w:tc>
      </w:tr>
      <w:tr w:rsidR="00A0000B" w:rsidRPr="00D51342" w:rsidTr="00303EAA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A0000B" w:rsidRPr="00D51342" w:rsidTr="00303EAA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4440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Стратегічної цілі 2. «Покращення якості життя та розвиток людського капіталу, завдання 2.1.1. «Покращення діяльності освітніх закладів та якості освітніх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послуг для різних вікових груп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та </w:t>
            </w:r>
            <w:r w:rsidRPr="00036935">
              <w:rPr>
                <w:rFonts w:ascii="Times New Roman" w:hAnsi="Times New Roman"/>
                <w:bCs/>
                <w:noProof/>
                <w:sz w:val="28"/>
                <w:szCs w:val="28"/>
              </w:rPr>
              <w:t>2.3.6. «Популяризація здорового способу життя та ідей громадського здоров’я»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(стор. 74)</w:t>
            </w:r>
          </w:p>
        </w:tc>
      </w:tr>
    </w:tbl>
    <w:p w:rsidR="00A0000B" w:rsidRPr="00D51342" w:rsidRDefault="00A0000B" w:rsidP="00A0000B">
      <w:pPr>
        <w:suppressAutoHyphens/>
        <w:rPr>
          <w:rFonts w:ascii="Times New Roman" w:hAnsi="Times New Roman"/>
          <w:lang w:eastAsia="zh-CN"/>
        </w:rPr>
      </w:pPr>
    </w:p>
    <w:p w:rsidR="0020748E" w:rsidRDefault="0020748E" w:rsidP="00A0000B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A0000B" w:rsidRDefault="00A0000B" w:rsidP="00A0000B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CE3D6A">
        <w:rPr>
          <w:rFonts w:ascii="Times New Roman" w:hAnsi="Times New Roman"/>
          <w:sz w:val="28"/>
          <w:szCs w:val="28"/>
          <w:lang w:eastAsia="zh-CN"/>
        </w:rPr>
        <w:t xml:space="preserve">Секретар </w:t>
      </w:r>
      <w:r>
        <w:rPr>
          <w:rFonts w:ascii="Times New Roman" w:hAnsi="Times New Roman"/>
          <w:sz w:val="28"/>
          <w:szCs w:val="28"/>
          <w:lang w:eastAsia="zh-CN"/>
        </w:rPr>
        <w:t>міської ради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>Олег</w:t>
      </w:r>
      <w:r w:rsidRPr="00CE3D6A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</w:t>
      </w:r>
      <w:r w:rsidRPr="00E72FE1">
        <w:rPr>
          <w:rFonts w:ascii="Times New Roman" w:hAnsi="Times New Roman"/>
          <w:sz w:val="28"/>
          <w:szCs w:val="28"/>
          <w:lang w:eastAsia="zh-CN"/>
        </w:rPr>
        <w:t>А</w:t>
      </w:r>
      <w:r>
        <w:rPr>
          <w:rFonts w:ascii="Times New Roman" w:hAnsi="Times New Roman"/>
          <w:sz w:val="28"/>
          <w:szCs w:val="28"/>
          <w:lang w:eastAsia="zh-CN"/>
        </w:rPr>
        <w:t>БІЙ</w:t>
      </w:r>
    </w:p>
    <w:p w:rsidR="00420947" w:rsidRDefault="00420947">
      <w:pPr>
        <w:spacing w:line="259" w:lineRule="auto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zh-CN"/>
        </w:rPr>
        <w:br w:type="page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420947" w:rsidRPr="00151B88" w:rsidTr="008D4232">
        <w:tc>
          <w:tcPr>
            <w:tcW w:w="4785" w:type="dxa"/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420947" w:rsidRPr="00151B88" w:rsidRDefault="00420947" w:rsidP="008D4232">
            <w:pPr>
              <w:snapToGrid w:val="0"/>
              <w:spacing w:after="0" w:line="257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420947" w:rsidRPr="00151B88" w:rsidRDefault="00420947" w:rsidP="008D4232">
            <w:pPr>
              <w:spacing w:after="0" w:line="257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Додаток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.2</w:t>
            </w:r>
          </w:p>
          <w:p w:rsidR="00420947" w:rsidRPr="00151B88" w:rsidRDefault="00420947" w:rsidP="008D4232">
            <w:pPr>
              <w:spacing w:after="0" w:line="257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 Програми</w:t>
            </w:r>
          </w:p>
        </w:tc>
      </w:tr>
    </w:tbl>
    <w:p w:rsidR="00420947" w:rsidRDefault="00420947" w:rsidP="00420947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420947" w:rsidRPr="00151B88" w:rsidRDefault="00420947" w:rsidP="00420947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51B88">
        <w:rPr>
          <w:rFonts w:ascii="Times New Roman" w:hAnsi="Times New Roman"/>
          <w:b/>
          <w:sz w:val="28"/>
          <w:szCs w:val="28"/>
          <w:lang w:eastAsia="zh-CN"/>
        </w:rPr>
        <w:t>Ресурсне забезпечення місцевої цільової  програми</w:t>
      </w:r>
    </w:p>
    <w:p w:rsidR="00420947" w:rsidRPr="00151B88" w:rsidRDefault="00420947" w:rsidP="0042094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1B88">
        <w:rPr>
          <w:rFonts w:ascii="Times New Roman" w:hAnsi="Times New Roman"/>
          <w:sz w:val="28"/>
          <w:szCs w:val="28"/>
        </w:rPr>
        <w:t xml:space="preserve"> </w:t>
      </w:r>
      <w:r w:rsidRPr="00151B88">
        <w:rPr>
          <w:rFonts w:ascii="Times New Roman" w:hAnsi="Times New Roman"/>
          <w:bCs/>
          <w:sz w:val="28"/>
          <w:szCs w:val="28"/>
          <w:lang w:eastAsia="ru-RU"/>
        </w:rPr>
        <w:t xml:space="preserve">«Здорові діти – здорова та успішна нація» </w:t>
      </w:r>
    </w:p>
    <w:p w:rsidR="00420947" w:rsidRPr="00151B88" w:rsidRDefault="00420947" w:rsidP="0042094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1B88">
        <w:rPr>
          <w:rFonts w:ascii="Times New Roman" w:hAnsi="Times New Roman"/>
          <w:bCs/>
          <w:sz w:val="28"/>
          <w:szCs w:val="28"/>
          <w:lang w:eastAsia="ru-RU"/>
        </w:rPr>
        <w:t>Здолбунівської міської територіальної громади на 2025-2027 роки</w:t>
      </w:r>
    </w:p>
    <w:p w:rsidR="00420947" w:rsidRPr="00151B88" w:rsidRDefault="00420947" w:rsidP="00420947">
      <w:pPr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991"/>
        <w:gridCol w:w="1843"/>
        <w:gridCol w:w="1701"/>
        <w:gridCol w:w="1984"/>
      </w:tblGrid>
      <w:tr w:rsidR="00420947" w:rsidRPr="00151B88" w:rsidTr="008D423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(грн)</w:t>
            </w:r>
          </w:p>
        </w:tc>
      </w:tr>
      <w:tr w:rsidR="00420947" w:rsidRPr="00151B88" w:rsidTr="008D423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20947" w:rsidRPr="00151B88" w:rsidTr="008D423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2026 рік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2027 рік</w:t>
            </w:r>
          </w:p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AF135D" w:rsidRPr="00AF135D" w:rsidTr="008D4232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AF135D" w:rsidRDefault="00AF135D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F135D">
              <w:rPr>
                <w:rFonts w:ascii="Times New Roman" w:hAnsi="Times New Roman"/>
                <w:sz w:val="28"/>
                <w:szCs w:val="28"/>
                <w:lang w:eastAsia="zh-CN"/>
              </w:rPr>
              <w:t>14 135 709,00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AF135D" w:rsidRDefault="00AF135D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AF135D">
              <w:rPr>
                <w:rFonts w:ascii="Times New Roman" w:hAnsi="Times New Roman"/>
                <w:sz w:val="28"/>
                <w:szCs w:val="28"/>
              </w:rPr>
              <w:t>12 121 509,00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AF135D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AF135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AF135D" w:rsidRDefault="00AF135D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F135D">
              <w:rPr>
                <w:rFonts w:ascii="Times New Roman" w:hAnsi="Times New Roman"/>
                <w:sz w:val="28"/>
                <w:szCs w:val="28"/>
                <w:lang w:eastAsia="zh-CN"/>
              </w:rPr>
              <w:t>35 944 715</w:t>
            </w:r>
            <w:r w:rsidRPr="00AF135D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AF135D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AF135D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:rsidR="00AF135D" w:rsidRPr="00AF135D" w:rsidTr="008D4232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AF135D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F135D">
              <w:rPr>
                <w:rFonts w:ascii="Times New Roman" w:hAnsi="Times New Roman"/>
                <w:sz w:val="28"/>
                <w:szCs w:val="28"/>
                <w:lang w:eastAsia="zh-CN"/>
              </w:rPr>
              <w:t>6 421 900,00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AF135D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AF135D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947" w:rsidRPr="00AF135D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F135D">
              <w:rPr>
                <w:rFonts w:ascii="Times New Roman" w:hAnsi="Times New Roman"/>
                <w:sz w:val="28"/>
                <w:szCs w:val="28"/>
                <w:lang w:eastAsia="zh-CN"/>
              </w:rPr>
              <w:t>6 421 900,00</w:t>
            </w:r>
          </w:p>
        </w:tc>
      </w:tr>
      <w:tr w:rsidR="007A6988" w:rsidRPr="00AF135D" w:rsidTr="008D4232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6988" w:rsidRPr="00151B88" w:rsidRDefault="007A6988" w:rsidP="007A6988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місцевий бюджет, у тому числі: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6988" w:rsidRPr="000055B8" w:rsidRDefault="007A6988" w:rsidP="007A69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5B8">
              <w:rPr>
                <w:rFonts w:ascii="Times New Roman" w:hAnsi="Times New Roman"/>
                <w:sz w:val="28"/>
                <w:szCs w:val="28"/>
                <w:lang w:eastAsia="zh-CN"/>
              </w:rPr>
              <w:t>7 713 809,00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6988" w:rsidRDefault="007A6988" w:rsidP="007A6988">
            <w:r w:rsidRPr="00C31D95">
              <w:rPr>
                <w:rFonts w:ascii="Times New Roman" w:hAnsi="Times New Roman"/>
                <w:sz w:val="28"/>
                <w:szCs w:val="28"/>
              </w:rPr>
              <w:t>12 121 509,00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6988" w:rsidRPr="007A6988" w:rsidRDefault="007A6988" w:rsidP="007A6988">
            <w:pPr>
              <w:rPr>
                <w:rFonts w:ascii="Times New Roman" w:hAnsi="Times New Roman"/>
                <w:sz w:val="28"/>
                <w:szCs w:val="28"/>
              </w:rPr>
            </w:pPr>
            <w:r w:rsidRPr="007A69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88" w:rsidRPr="007A6988" w:rsidRDefault="00A51A97" w:rsidP="007A698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29 522 815</w:t>
            </w:r>
            <w:r w:rsidR="007A6988" w:rsidRPr="007A69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,00 </w:t>
            </w:r>
          </w:p>
        </w:tc>
      </w:tr>
      <w:tr w:rsidR="007A6988" w:rsidRPr="00AF135D" w:rsidTr="008D423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Pr="00151B88" w:rsidRDefault="007A6988" w:rsidP="007A69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обласний </w:t>
            </w:r>
          </w:p>
          <w:p w:rsidR="007A6988" w:rsidRPr="00151B88" w:rsidRDefault="007A6988" w:rsidP="007A6988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Pr="000055B8" w:rsidRDefault="007A6988" w:rsidP="007A698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Default="007A6988" w:rsidP="007A698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Pr="007A6988" w:rsidRDefault="007A6988" w:rsidP="007A698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88" w:rsidRPr="007A6988" w:rsidRDefault="007A6988" w:rsidP="007A698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7A6988" w:rsidRPr="00AF135D" w:rsidTr="008D423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Pr="00151B88" w:rsidRDefault="007A6988" w:rsidP="007A6988">
            <w:pPr>
              <w:numPr>
                <w:ilvl w:val="0"/>
                <w:numId w:val="1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місцевий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Pr="000055B8" w:rsidRDefault="007A6988" w:rsidP="007A69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5B8">
              <w:rPr>
                <w:rFonts w:ascii="Times New Roman" w:hAnsi="Times New Roman"/>
                <w:sz w:val="28"/>
                <w:szCs w:val="28"/>
                <w:lang w:eastAsia="zh-CN"/>
              </w:rPr>
              <w:t>7 713 809,00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Default="007A6988" w:rsidP="007A6988">
            <w:r w:rsidRPr="00C31D95">
              <w:rPr>
                <w:rFonts w:ascii="Times New Roman" w:hAnsi="Times New Roman"/>
                <w:sz w:val="28"/>
                <w:szCs w:val="28"/>
              </w:rPr>
              <w:t>12 121 509,00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988" w:rsidRPr="007A6988" w:rsidRDefault="007A6988" w:rsidP="007A6988">
            <w:pPr>
              <w:rPr>
                <w:rFonts w:ascii="Times New Roman" w:hAnsi="Times New Roman"/>
                <w:sz w:val="28"/>
                <w:szCs w:val="28"/>
              </w:rPr>
            </w:pPr>
            <w:r w:rsidRPr="007A69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88" w:rsidRPr="007A6988" w:rsidRDefault="00A51A97" w:rsidP="007A698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29 522 815</w:t>
            </w:r>
            <w:r w:rsidR="007A6988" w:rsidRPr="007A6988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</w:p>
        </w:tc>
      </w:tr>
      <w:tr w:rsidR="00420947" w:rsidRPr="00151B88" w:rsidTr="008D4232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Інші бюджети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0055B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420947" w:rsidRPr="00151B88" w:rsidRDefault="00420947" w:rsidP="00420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947" w:rsidRPr="00151B88" w:rsidRDefault="00420947" w:rsidP="0042094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6"/>
        <w:gridCol w:w="4675"/>
      </w:tblGrid>
      <w:tr w:rsidR="00420947" w:rsidRPr="00151B88" w:rsidTr="008D4232">
        <w:tc>
          <w:tcPr>
            <w:tcW w:w="4926" w:type="dxa"/>
          </w:tcPr>
          <w:p w:rsidR="00420947" w:rsidRPr="00151B88" w:rsidRDefault="00420947" w:rsidP="008D4232">
            <w:pPr>
              <w:autoSpaceDN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Секретар міської ради                                                                     </w:t>
            </w:r>
          </w:p>
        </w:tc>
        <w:tc>
          <w:tcPr>
            <w:tcW w:w="4747" w:type="dxa"/>
          </w:tcPr>
          <w:p w:rsidR="00420947" w:rsidRPr="00151B88" w:rsidRDefault="00420947" w:rsidP="008D4232">
            <w:pPr>
              <w:autoSpaceDN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Олег БАБІЙ</w:t>
            </w:r>
          </w:p>
        </w:tc>
      </w:tr>
    </w:tbl>
    <w:p w:rsidR="00A0000B" w:rsidRDefault="00A0000B" w:rsidP="00A0000B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B36BFF" w:rsidRDefault="00B36BFF"/>
    <w:sectPr w:rsidR="00B36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0B"/>
    <w:rsid w:val="000055B8"/>
    <w:rsid w:val="00196BAC"/>
    <w:rsid w:val="001A3C4D"/>
    <w:rsid w:val="0020748E"/>
    <w:rsid w:val="00385C73"/>
    <w:rsid w:val="00420947"/>
    <w:rsid w:val="004420B2"/>
    <w:rsid w:val="004440E7"/>
    <w:rsid w:val="007A6988"/>
    <w:rsid w:val="007D2840"/>
    <w:rsid w:val="009A5CA1"/>
    <w:rsid w:val="00A0000B"/>
    <w:rsid w:val="00A51A97"/>
    <w:rsid w:val="00AF135D"/>
    <w:rsid w:val="00B36BFF"/>
    <w:rsid w:val="00D035FE"/>
    <w:rsid w:val="00DB527D"/>
    <w:rsid w:val="00F04A66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7FB1"/>
  <w15:chartTrackingRefBased/>
  <w15:docId w15:val="{9EEC3C45-67BD-4DCA-BB26-118C2695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C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Hewlett Packard</cp:lastModifiedBy>
  <cp:revision>4</cp:revision>
  <cp:lastPrinted>2025-12-15T14:36:00Z</cp:lastPrinted>
  <dcterms:created xsi:type="dcterms:W3CDTF">2025-12-10T13:15:00Z</dcterms:created>
  <dcterms:modified xsi:type="dcterms:W3CDTF">2025-12-15T14:36:00Z</dcterms:modified>
</cp:coreProperties>
</file>