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E0" w:rsidRPr="007857BC" w:rsidRDefault="00ED2E85" w:rsidP="00017AE0">
      <w:pPr>
        <w:jc w:val="center"/>
        <w:rPr>
          <w:lang w:val="uk-UA"/>
        </w:rPr>
      </w:pPr>
      <w:r w:rsidRPr="007857BC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E0" w:rsidRPr="007857BC" w:rsidRDefault="00017AE0" w:rsidP="00017AE0">
      <w:pPr>
        <w:jc w:val="center"/>
        <w:rPr>
          <w:b/>
          <w:bCs/>
          <w:sz w:val="28"/>
          <w:szCs w:val="28"/>
          <w:lang w:val="uk-UA"/>
        </w:rPr>
      </w:pPr>
      <w:r w:rsidRPr="007857BC">
        <w:rPr>
          <w:b/>
          <w:bCs/>
          <w:sz w:val="28"/>
          <w:szCs w:val="28"/>
          <w:lang w:val="uk-UA"/>
        </w:rPr>
        <w:t>ЗДОЛБУНІВСЬКА МІСЬКА РАДА</w:t>
      </w:r>
    </w:p>
    <w:p w:rsidR="00017AE0" w:rsidRPr="007857BC" w:rsidRDefault="00017AE0" w:rsidP="00017AE0">
      <w:pPr>
        <w:jc w:val="center"/>
        <w:rPr>
          <w:b/>
          <w:bCs/>
          <w:sz w:val="28"/>
          <w:szCs w:val="28"/>
          <w:lang w:val="uk-UA"/>
        </w:rPr>
      </w:pPr>
      <w:r w:rsidRPr="007857B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017AE0" w:rsidRPr="007857BC" w:rsidRDefault="00017AE0" w:rsidP="00017AE0">
      <w:pPr>
        <w:rPr>
          <w:b/>
          <w:bCs/>
          <w:sz w:val="28"/>
          <w:szCs w:val="28"/>
          <w:lang w:val="uk-UA"/>
        </w:rPr>
      </w:pPr>
      <w:r w:rsidRPr="007857BC">
        <w:rPr>
          <w:b/>
          <w:bCs/>
          <w:sz w:val="28"/>
          <w:szCs w:val="28"/>
          <w:lang w:val="uk-UA"/>
        </w:rPr>
        <w:t xml:space="preserve">                                                  восьме скликання</w:t>
      </w:r>
    </w:p>
    <w:p w:rsidR="00017AE0" w:rsidRPr="007857BC" w:rsidRDefault="00017AE0" w:rsidP="00017AE0">
      <w:pPr>
        <w:jc w:val="center"/>
        <w:rPr>
          <w:b/>
          <w:lang w:val="uk-UA"/>
        </w:rPr>
      </w:pPr>
    </w:p>
    <w:p w:rsidR="00017AE0" w:rsidRPr="007857BC" w:rsidRDefault="00EC3182" w:rsidP="00EC3182">
      <w:pPr>
        <w:tabs>
          <w:tab w:val="center" w:pos="4677"/>
          <w:tab w:val="left" w:pos="8295"/>
        </w:tabs>
        <w:rPr>
          <w:b/>
          <w:bCs/>
          <w:sz w:val="28"/>
          <w:szCs w:val="28"/>
          <w:lang w:val="uk-UA"/>
        </w:rPr>
      </w:pPr>
      <w:r w:rsidRPr="007857BC">
        <w:rPr>
          <w:b/>
          <w:bCs/>
          <w:sz w:val="28"/>
          <w:szCs w:val="28"/>
          <w:lang w:val="uk-UA"/>
        </w:rPr>
        <w:tab/>
      </w:r>
      <w:r w:rsidR="00017AE0" w:rsidRPr="007857BC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017AE0" w:rsidRPr="007857BC">
        <w:rPr>
          <w:b/>
          <w:bCs/>
          <w:sz w:val="28"/>
          <w:szCs w:val="28"/>
          <w:lang w:val="uk-UA"/>
        </w:rPr>
        <w:t>Н</w:t>
      </w:r>
      <w:proofErr w:type="spellEnd"/>
      <w:r w:rsidR="00017AE0" w:rsidRPr="007857BC">
        <w:rPr>
          <w:b/>
          <w:bCs/>
          <w:sz w:val="28"/>
          <w:szCs w:val="28"/>
          <w:lang w:val="uk-UA"/>
        </w:rPr>
        <w:t xml:space="preserve"> Я</w:t>
      </w:r>
      <w:r w:rsidRPr="007857BC">
        <w:rPr>
          <w:b/>
          <w:bCs/>
          <w:sz w:val="28"/>
          <w:szCs w:val="28"/>
          <w:lang w:val="uk-UA"/>
        </w:rPr>
        <w:tab/>
      </w:r>
    </w:p>
    <w:p w:rsidR="00017AE0" w:rsidRPr="007857BC" w:rsidRDefault="00017AE0" w:rsidP="00017AE0">
      <w:pPr>
        <w:rPr>
          <w:sz w:val="28"/>
          <w:szCs w:val="28"/>
          <w:lang w:val="uk-UA"/>
        </w:rPr>
      </w:pPr>
    </w:p>
    <w:p w:rsidR="00017AE0" w:rsidRPr="007857BC" w:rsidRDefault="000B3872" w:rsidP="00017AE0">
      <w:pPr>
        <w:pStyle w:val="a3"/>
        <w:jc w:val="left"/>
        <w:rPr>
          <w:b w:val="0"/>
          <w:sz w:val="28"/>
          <w:lang w:val="uk-UA"/>
        </w:rPr>
      </w:pPr>
      <w:r w:rsidRPr="007857BC">
        <w:rPr>
          <w:b w:val="0"/>
          <w:sz w:val="28"/>
          <w:szCs w:val="28"/>
          <w:lang w:val="uk-UA"/>
        </w:rPr>
        <w:t xml:space="preserve">від </w:t>
      </w:r>
      <w:r w:rsidR="00EC3182" w:rsidRPr="007857BC">
        <w:rPr>
          <w:b w:val="0"/>
          <w:sz w:val="28"/>
          <w:szCs w:val="28"/>
          <w:lang w:val="uk-UA"/>
        </w:rPr>
        <w:t>24</w:t>
      </w:r>
      <w:r w:rsidR="00017AE0" w:rsidRPr="007857BC">
        <w:rPr>
          <w:b w:val="0"/>
          <w:sz w:val="28"/>
          <w:szCs w:val="28"/>
          <w:lang w:val="uk-UA"/>
        </w:rPr>
        <w:t xml:space="preserve"> </w:t>
      </w:r>
      <w:r w:rsidR="00EC3182" w:rsidRPr="007857BC">
        <w:rPr>
          <w:b w:val="0"/>
          <w:sz w:val="28"/>
          <w:szCs w:val="28"/>
          <w:lang w:val="uk-UA"/>
        </w:rPr>
        <w:t>черв</w:t>
      </w:r>
      <w:r w:rsidR="00017AE0" w:rsidRPr="007857BC">
        <w:rPr>
          <w:b w:val="0"/>
          <w:sz w:val="28"/>
          <w:szCs w:val="28"/>
          <w:lang w:val="uk-UA"/>
        </w:rPr>
        <w:t>ня 2</w:t>
      </w:r>
      <w:r w:rsidRPr="007857BC">
        <w:rPr>
          <w:b w:val="0"/>
          <w:sz w:val="28"/>
          <w:lang w:val="uk-UA"/>
        </w:rPr>
        <w:t>02</w:t>
      </w:r>
      <w:r w:rsidR="00EC3182" w:rsidRPr="007857BC">
        <w:rPr>
          <w:b w:val="0"/>
          <w:sz w:val="28"/>
          <w:lang w:val="uk-UA"/>
        </w:rPr>
        <w:t>6</w:t>
      </w:r>
      <w:r w:rsidR="00017AE0" w:rsidRPr="007857BC">
        <w:rPr>
          <w:b w:val="0"/>
          <w:sz w:val="28"/>
          <w:lang w:val="uk-UA"/>
        </w:rPr>
        <w:t xml:space="preserve"> року                                          </w:t>
      </w:r>
      <w:r w:rsidR="00ED1A6A" w:rsidRPr="007857BC">
        <w:rPr>
          <w:b w:val="0"/>
          <w:sz w:val="28"/>
          <w:lang w:val="uk-UA"/>
        </w:rPr>
        <w:t xml:space="preserve">   </w:t>
      </w:r>
      <w:r w:rsidR="00A90E9D" w:rsidRPr="007857BC">
        <w:rPr>
          <w:b w:val="0"/>
          <w:sz w:val="28"/>
          <w:lang w:val="uk-UA"/>
        </w:rPr>
        <w:t xml:space="preserve">                        </w:t>
      </w:r>
      <w:r w:rsidR="00D72C8F" w:rsidRPr="007857BC">
        <w:rPr>
          <w:b w:val="0"/>
          <w:sz w:val="28"/>
          <w:lang w:val="uk-UA"/>
        </w:rPr>
        <w:t xml:space="preserve">       </w:t>
      </w:r>
      <w:r w:rsidR="00A90E9D" w:rsidRPr="007857BC">
        <w:rPr>
          <w:b w:val="0"/>
          <w:sz w:val="28"/>
          <w:lang w:val="uk-UA"/>
        </w:rPr>
        <w:t xml:space="preserve">   №</w:t>
      </w:r>
      <w:r w:rsidR="00846A94" w:rsidRPr="007857BC">
        <w:rPr>
          <w:b w:val="0"/>
          <w:sz w:val="28"/>
          <w:lang w:val="uk-UA"/>
        </w:rPr>
        <w:t xml:space="preserve"> </w:t>
      </w:r>
      <w:r w:rsidR="000A2B3F">
        <w:rPr>
          <w:b w:val="0"/>
          <w:sz w:val="28"/>
          <w:lang w:val="uk-UA"/>
        </w:rPr>
        <w:t>3350</w:t>
      </w:r>
      <w:bookmarkStart w:id="0" w:name="_GoBack"/>
      <w:bookmarkEnd w:id="0"/>
    </w:p>
    <w:p w:rsidR="00EC3182" w:rsidRPr="007857BC" w:rsidRDefault="00EC3182" w:rsidP="00017AE0">
      <w:pPr>
        <w:pStyle w:val="a3"/>
        <w:jc w:val="left"/>
        <w:rPr>
          <w:b w:val="0"/>
          <w:sz w:val="28"/>
          <w:lang w:val="uk-UA"/>
        </w:rPr>
      </w:pPr>
    </w:p>
    <w:p w:rsidR="00201CD1" w:rsidRPr="007857BC" w:rsidRDefault="00EC3182" w:rsidP="00EC3182">
      <w:pPr>
        <w:ind w:right="5243"/>
        <w:jc w:val="both"/>
        <w:rPr>
          <w:sz w:val="28"/>
          <w:szCs w:val="28"/>
          <w:lang w:val="uk-UA"/>
        </w:rPr>
      </w:pPr>
      <w:r w:rsidRPr="007857BC">
        <w:rPr>
          <w:bCs/>
          <w:sz w:val="28"/>
          <w:szCs w:val="28"/>
          <w:lang w:val="uk-UA"/>
        </w:rPr>
        <w:t xml:space="preserve">Про раціональне використання землі на території </w:t>
      </w:r>
      <w:r w:rsidRPr="007857BC">
        <w:rPr>
          <w:sz w:val="28"/>
          <w:szCs w:val="28"/>
          <w:lang w:val="uk-UA"/>
        </w:rPr>
        <w:t xml:space="preserve"> Здолбунівської міської територіальної громади</w:t>
      </w:r>
      <w:r w:rsidRPr="007857BC">
        <w:rPr>
          <w:bCs/>
          <w:sz w:val="28"/>
          <w:szCs w:val="28"/>
          <w:lang w:val="uk-UA"/>
        </w:rPr>
        <w:t xml:space="preserve"> та надходження орендної плати за використання земельних ділянок</w:t>
      </w:r>
    </w:p>
    <w:p w:rsidR="00201CD1" w:rsidRPr="007857BC" w:rsidRDefault="00201CD1" w:rsidP="00201CD1">
      <w:pPr>
        <w:rPr>
          <w:sz w:val="28"/>
          <w:szCs w:val="28"/>
          <w:lang w:val="uk-UA"/>
        </w:rPr>
      </w:pPr>
    </w:p>
    <w:p w:rsidR="00683622" w:rsidRPr="007857BC" w:rsidRDefault="00683622" w:rsidP="00201CD1">
      <w:pPr>
        <w:rPr>
          <w:sz w:val="28"/>
          <w:szCs w:val="28"/>
          <w:lang w:val="uk-UA"/>
        </w:rPr>
      </w:pPr>
    </w:p>
    <w:p w:rsidR="00201CD1" w:rsidRPr="007857BC" w:rsidRDefault="00201CD1" w:rsidP="00683622">
      <w:pPr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ab/>
        <w:t>Керуючись  ст</w:t>
      </w:r>
      <w:r w:rsidR="008D6A11" w:rsidRPr="007857BC">
        <w:rPr>
          <w:sz w:val="28"/>
          <w:szCs w:val="28"/>
          <w:lang w:val="uk-UA"/>
        </w:rPr>
        <w:t>атт</w:t>
      </w:r>
      <w:r w:rsidR="00EC3182" w:rsidRPr="007857BC">
        <w:rPr>
          <w:sz w:val="28"/>
          <w:szCs w:val="28"/>
          <w:lang w:val="uk-UA"/>
        </w:rPr>
        <w:t>ями</w:t>
      </w:r>
      <w:r w:rsidRPr="007857BC">
        <w:rPr>
          <w:sz w:val="28"/>
          <w:szCs w:val="28"/>
          <w:lang w:val="uk-UA"/>
        </w:rPr>
        <w:t xml:space="preserve"> 26</w:t>
      </w:r>
      <w:r w:rsidR="00EC3182" w:rsidRPr="007857BC">
        <w:rPr>
          <w:sz w:val="28"/>
          <w:szCs w:val="28"/>
          <w:lang w:val="uk-UA"/>
        </w:rPr>
        <w:t>, 33</w:t>
      </w:r>
      <w:r w:rsidRPr="007857B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846A94" w:rsidRPr="007857BC">
        <w:rPr>
          <w:color w:val="000000"/>
          <w:position w:val="-1"/>
          <w:sz w:val="28"/>
          <w:szCs w:val="28"/>
          <w:lang w:val="uk-UA"/>
        </w:rPr>
        <w:t xml:space="preserve"> </w:t>
      </w:r>
      <w:r w:rsidR="00683622" w:rsidRPr="007857BC">
        <w:rPr>
          <w:color w:val="000000"/>
          <w:position w:val="-1"/>
          <w:sz w:val="28"/>
          <w:szCs w:val="28"/>
          <w:lang w:val="uk-UA"/>
        </w:rPr>
        <w:t xml:space="preserve">рішенням Здолбунівської міської ради від 17 грудня 2025 року № 3071 «Про затвердження  плану роботи Здолбунівської міської ради на 2026 рік» </w:t>
      </w:r>
      <w:r w:rsidR="00017AE0" w:rsidRPr="007857BC">
        <w:rPr>
          <w:sz w:val="28"/>
          <w:szCs w:val="28"/>
          <w:lang w:val="uk-UA"/>
        </w:rPr>
        <w:t xml:space="preserve">Здолбунівська </w:t>
      </w:r>
      <w:r w:rsidRPr="007857BC">
        <w:rPr>
          <w:sz w:val="28"/>
          <w:szCs w:val="28"/>
          <w:lang w:val="uk-UA"/>
        </w:rPr>
        <w:t>міська рада</w:t>
      </w:r>
    </w:p>
    <w:p w:rsidR="00201CD1" w:rsidRPr="007857BC" w:rsidRDefault="00201CD1" w:rsidP="00201CD1">
      <w:pPr>
        <w:jc w:val="both"/>
        <w:rPr>
          <w:sz w:val="28"/>
          <w:szCs w:val="28"/>
          <w:lang w:val="uk-UA"/>
        </w:rPr>
      </w:pPr>
    </w:p>
    <w:p w:rsidR="00201CD1" w:rsidRPr="007857BC" w:rsidRDefault="00201CD1" w:rsidP="00201CD1">
      <w:pPr>
        <w:jc w:val="center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>В И Р І Ш И Л А:</w:t>
      </w:r>
    </w:p>
    <w:p w:rsidR="00EC3182" w:rsidRPr="007857BC" w:rsidRDefault="009B2A5D" w:rsidP="00EC3182">
      <w:pPr>
        <w:jc w:val="both"/>
        <w:rPr>
          <w:sz w:val="28"/>
          <w:szCs w:val="20"/>
          <w:lang w:val="uk-UA"/>
        </w:rPr>
      </w:pPr>
      <w:r w:rsidRPr="007857BC">
        <w:rPr>
          <w:sz w:val="28"/>
          <w:szCs w:val="28"/>
          <w:lang w:val="uk-UA"/>
        </w:rPr>
        <w:tab/>
      </w:r>
      <w:r w:rsidR="00EC3182" w:rsidRPr="007857BC">
        <w:rPr>
          <w:sz w:val="28"/>
          <w:szCs w:val="20"/>
          <w:lang w:val="uk-UA"/>
        </w:rPr>
        <w:t xml:space="preserve">Інформацію начальника відділу з питань землекористування Здолбунівської </w:t>
      </w:r>
      <w:r w:rsidR="00EC3182" w:rsidRPr="007857BC">
        <w:rPr>
          <w:sz w:val="28"/>
          <w:szCs w:val="28"/>
          <w:lang w:val="uk-UA"/>
        </w:rPr>
        <w:t>міської ради,</w:t>
      </w:r>
      <w:r w:rsidR="00EC3182" w:rsidRPr="007857BC">
        <w:rPr>
          <w:sz w:val="28"/>
          <w:szCs w:val="20"/>
          <w:lang w:val="uk-UA"/>
        </w:rPr>
        <w:t xml:space="preserve">  «Про </w:t>
      </w:r>
      <w:r w:rsidR="00EC3182" w:rsidRPr="007857BC">
        <w:rPr>
          <w:bCs/>
          <w:sz w:val="28"/>
          <w:szCs w:val="28"/>
          <w:lang w:val="uk-UA"/>
        </w:rPr>
        <w:t xml:space="preserve">раціонального використання землі на території </w:t>
      </w:r>
      <w:r w:rsidR="00EC3182" w:rsidRPr="007857BC">
        <w:rPr>
          <w:sz w:val="28"/>
          <w:szCs w:val="28"/>
          <w:lang w:val="uk-UA"/>
        </w:rPr>
        <w:t xml:space="preserve"> Здолбунівської міської територіальної громади</w:t>
      </w:r>
      <w:r w:rsidR="00EC3182" w:rsidRPr="007857BC">
        <w:rPr>
          <w:bCs/>
          <w:sz w:val="28"/>
          <w:szCs w:val="28"/>
          <w:lang w:val="uk-UA"/>
        </w:rPr>
        <w:t xml:space="preserve"> та надходження орендної плати за використання земельних ділянок»</w:t>
      </w:r>
      <w:r w:rsidR="00EC3182" w:rsidRPr="007857BC">
        <w:rPr>
          <w:sz w:val="28"/>
          <w:szCs w:val="20"/>
          <w:lang w:val="uk-UA"/>
        </w:rPr>
        <w:t xml:space="preserve"> прийняти до відома (додається).</w:t>
      </w:r>
    </w:p>
    <w:p w:rsidR="00201CD1" w:rsidRPr="007857BC" w:rsidRDefault="00201CD1" w:rsidP="00EC3182">
      <w:pPr>
        <w:tabs>
          <w:tab w:val="left" w:pos="760"/>
        </w:tabs>
        <w:jc w:val="both"/>
        <w:rPr>
          <w:sz w:val="28"/>
          <w:szCs w:val="28"/>
          <w:lang w:val="uk-UA"/>
        </w:rPr>
      </w:pPr>
    </w:p>
    <w:p w:rsidR="00201CD1" w:rsidRPr="007857BC" w:rsidRDefault="00201CD1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C6565E" w:rsidRPr="007857BC" w:rsidRDefault="00C6565E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C6565E" w:rsidRPr="007857BC" w:rsidRDefault="00C6565E" w:rsidP="00201CD1">
      <w:pPr>
        <w:tabs>
          <w:tab w:val="left" w:pos="760"/>
          <w:tab w:val="left" w:pos="960"/>
        </w:tabs>
        <w:jc w:val="both"/>
        <w:rPr>
          <w:sz w:val="28"/>
          <w:szCs w:val="28"/>
          <w:lang w:val="uk-UA"/>
        </w:rPr>
      </w:pPr>
    </w:p>
    <w:p w:rsidR="00201CD1" w:rsidRPr="007857BC" w:rsidRDefault="000B3872" w:rsidP="00201CD1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>Міський голова                                                                     Владислав СУХЛЯК</w:t>
      </w:r>
      <w:r w:rsidR="00201CD1" w:rsidRPr="007857BC">
        <w:rPr>
          <w:sz w:val="28"/>
          <w:szCs w:val="28"/>
          <w:lang w:val="uk-UA"/>
        </w:rPr>
        <w:tab/>
      </w:r>
    </w:p>
    <w:p w:rsidR="00201CD1" w:rsidRPr="007857BC" w:rsidRDefault="00201CD1" w:rsidP="00201CD1">
      <w:pPr>
        <w:tabs>
          <w:tab w:val="left" w:pos="960"/>
        </w:tabs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ab/>
      </w:r>
    </w:p>
    <w:p w:rsidR="00201CD1" w:rsidRPr="007857BC" w:rsidRDefault="00201CD1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C6565E" w:rsidRPr="007857BC" w:rsidRDefault="00444B6B" w:rsidP="00C6565E">
      <w:pPr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C6565E" w:rsidRPr="007857BC" w:rsidRDefault="00C6565E" w:rsidP="00C6565E">
      <w:pPr>
        <w:jc w:val="both"/>
        <w:rPr>
          <w:sz w:val="28"/>
          <w:szCs w:val="28"/>
          <w:lang w:val="uk-UA"/>
        </w:rPr>
      </w:pPr>
    </w:p>
    <w:p w:rsidR="00C6565E" w:rsidRPr="007857BC" w:rsidRDefault="00C6565E" w:rsidP="00C6565E">
      <w:pPr>
        <w:jc w:val="both"/>
        <w:rPr>
          <w:sz w:val="28"/>
          <w:szCs w:val="28"/>
          <w:lang w:val="uk-UA"/>
        </w:rPr>
      </w:pPr>
    </w:p>
    <w:p w:rsidR="00C6565E" w:rsidRPr="007857BC" w:rsidRDefault="00C6565E" w:rsidP="00C6565E">
      <w:pPr>
        <w:jc w:val="both"/>
        <w:rPr>
          <w:sz w:val="28"/>
          <w:szCs w:val="28"/>
          <w:lang w:val="uk-UA"/>
        </w:rPr>
      </w:pPr>
    </w:p>
    <w:p w:rsidR="00C6565E" w:rsidRPr="007857BC" w:rsidRDefault="00C6565E" w:rsidP="00C6565E">
      <w:pPr>
        <w:jc w:val="both"/>
        <w:rPr>
          <w:sz w:val="28"/>
          <w:szCs w:val="28"/>
          <w:lang w:val="uk-UA"/>
        </w:rPr>
      </w:pPr>
    </w:p>
    <w:p w:rsidR="00C6565E" w:rsidRPr="007857BC" w:rsidRDefault="00C6565E" w:rsidP="00C6565E">
      <w:pPr>
        <w:jc w:val="both"/>
        <w:rPr>
          <w:sz w:val="28"/>
          <w:szCs w:val="28"/>
          <w:lang w:val="uk-UA"/>
        </w:rPr>
      </w:pPr>
    </w:p>
    <w:p w:rsidR="00017AE0" w:rsidRPr="007857BC" w:rsidRDefault="00C6565E" w:rsidP="00EC3182">
      <w:pPr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 xml:space="preserve">    </w:t>
      </w:r>
      <w:r w:rsidR="00A7032F" w:rsidRPr="007857BC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B1384F" w:rsidRPr="007857BC">
        <w:rPr>
          <w:sz w:val="28"/>
          <w:szCs w:val="28"/>
          <w:lang w:val="uk-UA"/>
        </w:rPr>
        <w:t>ЗАТВЕРДЖЕНО</w:t>
      </w:r>
    </w:p>
    <w:p w:rsidR="00B1384F" w:rsidRPr="007857BC" w:rsidRDefault="00846A94" w:rsidP="00B1384F">
      <w:pPr>
        <w:ind w:left="6237"/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>Р</w:t>
      </w:r>
      <w:r w:rsidR="00B1384F" w:rsidRPr="007857BC">
        <w:rPr>
          <w:sz w:val="28"/>
          <w:szCs w:val="28"/>
          <w:lang w:val="uk-UA"/>
        </w:rPr>
        <w:t xml:space="preserve">ішення </w:t>
      </w:r>
      <w:r w:rsidRPr="007857BC">
        <w:rPr>
          <w:sz w:val="28"/>
          <w:szCs w:val="28"/>
          <w:lang w:val="uk-UA"/>
        </w:rPr>
        <w:t xml:space="preserve">Здолбунівської </w:t>
      </w:r>
      <w:r w:rsidR="00B1384F" w:rsidRPr="007857BC">
        <w:rPr>
          <w:sz w:val="28"/>
          <w:szCs w:val="28"/>
          <w:lang w:val="uk-UA"/>
        </w:rPr>
        <w:t xml:space="preserve">міської ради </w:t>
      </w:r>
    </w:p>
    <w:p w:rsidR="00B1384F" w:rsidRPr="007857BC" w:rsidRDefault="000B3872" w:rsidP="00B1384F">
      <w:pPr>
        <w:ind w:left="6237"/>
        <w:jc w:val="both"/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 xml:space="preserve">від </w:t>
      </w:r>
      <w:r w:rsidR="00EC3182" w:rsidRPr="007857BC">
        <w:rPr>
          <w:sz w:val="28"/>
          <w:szCs w:val="28"/>
          <w:lang w:val="uk-UA"/>
        </w:rPr>
        <w:t>24</w:t>
      </w:r>
      <w:r w:rsidRPr="007857BC">
        <w:rPr>
          <w:sz w:val="28"/>
          <w:szCs w:val="28"/>
          <w:lang w:val="uk-UA"/>
        </w:rPr>
        <w:t>.</w:t>
      </w:r>
      <w:r w:rsidR="00EC3182" w:rsidRPr="007857BC">
        <w:rPr>
          <w:sz w:val="28"/>
          <w:szCs w:val="28"/>
          <w:lang w:val="uk-UA"/>
        </w:rPr>
        <w:t>06</w:t>
      </w:r>
      <w:r w:rsidRPr="007857BC">
        <w:rPr>
          <w:sz w:val="28"/>
          <w:szCs w:val="28"/>
          <w:lang w:val="uk-UA"/>
        </w:rPr>
        <w:t>.202</w:t>
      </w:r>
      <w:r w:rsidR="00EC3182" w:rsidRPr="007857BC">
        <w:rPr>
          <w:sz w:val="28"/>
          <w:szCs w:val="28"/>
          <w:lang w:val="uk-UA"/>
        </w:rPr>
        <w:t>6</w:t>
      </w:r>
      <w:r w:rsidR="00447B3F" w:rsidRPr="007857BC">
        <w:rPr>
          <w:sz w:val="28"/>
          <w:szCs w:val="28"/>
          <w:lang w:val="uk-UA"/>
        </w:rPr>
        <w:t xml:space="preserve"> №</w:t>
      </w:r>
      <w:r w:rsidR="00A7032F" w:rsidRPr="007857BC">
        <w:rPr>
          <w:sz w:val="28"/>
          <w:szCs w:val="28"/>
          <w:lang w:val="uk-UA"/>
        </w:rPr>
        <w:t xml:space="preserve"> </w:t>
      </w:r>
      <w:r w:rsidR="003233C6" w:rsidRPr="007857BC">
        <w:rPr>
          <w:sz w:val="28"/>
          <w:szCs w:val="28"/>
          <w:lang w:val="uk-UA"/>
        </w:rPr>
        <w:t>1</w:t>
      </w:r>
    </w:p>
    <w:p w:rsidR="00846A94" w:rsidRPr="007857BC" w:rsidRDefault="00846A94" w:rsidP="00B1384F">
      <w:pPr>
        <w:jc w:val="center"/>
        <w:rPr>
          <w:b/>
          <w:sz w:val="28"/>
          <w:szCs w:val="28"/>
          <w:lang w:val="uk-UA"/>
        </w:rPr>
      </w:pPr>
    </w:p>
    <w:p w:rsidR="00800507" w:rsidRPr="007857BC" w:rsidRDefault="00800507" w:rsidP="0080050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ІНФОРМАЦІЯ</w:t>
      </w:r>
    </w:p>
    <w:p w:rsidR="00800507" w:rsidRPr="007857BC" w:rsidRDefault="00800507" w:rsidP="00800507">
      <w:pPr>
        <w:spacing w:before="100" w:beforeAutospacing="1" w:after="100" w:afterAutospacing="1"/>
        <w:jc w:val="center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про стан раціонального використання землі на території Здолбунівської міської територіальної громади та надходження орендної плати за використання земельних ділянок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Відділом з питань землекористування Здолбунівської міської ради забезпечено системне, послідовне та високоефективне виконання заходів </w:t>
      </w:r>
      <w:r w:rsidRPr="007857BC">
        <w:rPr>
          <w:b/>
          <w:bCs/>
          <w:sz w:val="28"/>
          <w:szCs w:val="28"/>
          <w:lang w:val="uk-UA" w:eastAsia="uk-UA"/>
        </w:rPr>
        <w:t>Програми розвитку земельних відносин та раціонального використання земель Здолбунівської міської територіальної громади</w:t>
      </w:r>
      <w:r w:rsidRPr="007857BC">
        <w:rPr>
          <w:sz w:val="28"/>
          <w:szCs w:val="28"/>
          <w:lang w:val="uk-UA" w:eastAsia="uk-UA"/>
        </w:rPr>
        <w:t>. Уся діяльність відділу підпорядкована стратегічній меті — забезпеченню максимального й стабільного наповнення дохідної частини місцевого бюджету, прозорості землекористування та залученню капітальних інвестицій в економіку громади.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Окремим вагомим фактором фінансової стабільності є те, що </w:t>
      </w:r>
      <w:r w:rsidRPr="007857BC">
        <w:rPr>
          <w:b/>
          <w:bCs/>
          <w:sz w:val="28"/>
          <w:szCs w:val="28"/>
          <w:lang w:val="uk-UA" w:eastAsia="uk-UA"/>
        </w:rPr>
        <w:t xml:space="preserve">відділом на постійній основі ведеться системна та </w:t>
      </w:r>
      <w:proofErr w:type="spellStart"/>
      <w:r w:rsidRPr="007857BC">
        <w:rPr>
          <w:b/>
          <w:bCs/>
          <w:sz w:val="28"/>
          <w:szCs w:val="28"/>
          <w:lang w:val="uk-UA" w:eastAsia="uk-UA"/>
        </w:rPr>
        <w:t>упереджувальна</w:t>
      </w:r>
      <w:proofErr w:type="spellEnd"/>
      <w:r w:rsidRPr="007857BC">
        <w:rPr>
          <w:b/>
          <w:bCs/>
          <w:sz w:val="28"/>
          <w:szCs w:val="28"/>
          <w:lang w:val="uk-UA" w:eastAsia="uk-UA"/>
        </w:rPr>
        <w:t xml:space="preserve"> робота щодо моніторингу, перегляду та своєчасного поновлення договорів оренди земельних ділянок, термін дії яких закінчується</w:t>
      </w:r>
      <w:r w:rsidRPr="007857BC">
        <w:rPr>
          <w:sz w:val="28"/>
          <w:szCs w:val="28"/>
          <w:lang w:val="uk-UA" w:eastAsia="uk-UA"/>
        </w:rPr>
        <w:t xml:space="preserve">. Такий підхід повністю виключає ризики виникнення </w:t>
      </w:r>
      <w:proofErr w:type="spellStart"/>
      <w:r w:rsidRPr="007857BC">
        <w:rPr>
          <w:sz w:val="28"/>
          <w:szCs w:val="28"/>
          <w:lang w:val="uk-UA" w:eastAsia="uk-UA"/>
        </w:rPr>
        <w:t>бездоговірного</w:t>
      </w:r>
      <w:proofErr w:type="spellEnd"/>
      <w:r w:rsidRPr="007857BC">
        <w:rPr>
          <w:sz w:val="28"/>
          <w:szCs w:val="28"/>
          <w:lang w:val="uk-UA" w:eastAsia="uk-UA"/>
        </w:rPr>
        <w:t xml:space="preserve"> чи безоплатного користування комунальним земельним фондом, гарантуючи безперервність фінансових надходжень від орендарів.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Узагальнені показники фінансово-економічної діяльності відділу, деталізовані за звітними роками, демонструють стійку висхідну динаміку та високу результативність адміністрування земельних ресурсів: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2021 РІК (Формування податкової бази та первинні надходження)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Перший рік діяльності укрупненої громади став базовим для проведення аудиту та систематизації надходжень від плати за землю з усіх приєднаних </w:t>
      </w:r>
      <w:proofErr w:type="spellStart"/>
      <w:r w:rsidRPr="007857BC">
        <w:rPr>
          <w:sz w:val="28"/>
          <w:szCs w:val="28"/>
          <w:lang w:val="uk-UA" w:eastAsia="uk-UA"/>
        </w:rPr>
        <w:t>старостинських</w:t>
      </w:r>
      <w:proofErr w:type="spellEnd"/>
      <w:r w:rsidRPr="007857BC">
        <w:rPr>
          <w:sz w:val="28"/>
          <w:szCs w:val="28"/>
          <w:lang w:val="uk-UA" w:eastAsia="uk-UA"/>
        </w:rPr>
        <w:t xml:space="preserve"> округів:</w:t>
      </w:r>
    </w:p>
    <w:p w:rsidR="00800507" w:rsidRPr="007857BC" w:rsidRDefault="00800507" w:rsidP="0080050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Стабільні податкові надходження:</w:t>
      </w:r>
      <w:r w:rsidRPr="007857BC">
        <w:rPr>
          <w:sz w:val="28"/>
          <w:szCs w:val="28"/>
          <w:lang w:val="uk-UA" w:eastAsia="uk-UA"/>
        </w:rPr>
        <w:t xml:space="preserve"> Завдяки налагодженню чіткої взаємодії з великими промисловими та транспортними суб'єктами </w:t>
      </w:r>
      <w:r w:rsidRPr="007857BC">
        <w:rPr>
          <w:sz w:val="28"/>
          <w:szCs w:val="28"/>
          <w:lang w:val="uk-UA" w:eastAsia="uk-UA"/>
        </w:rPr>
        <w:lastRenderedPageBreak/>
        <w:t>господарювання, бюджет громади отримав потужне фінансове наповнення у вигляді земельного податку. Головними донорами стали:</w:t>
      </w:r>
    </w:p>
    <w:p w:rsidR="00800507" w:rsidRPr="007857BC" w:rsidRDefault="00800507" w:rsidP="00800507">
      <w:pPr>
        <w:numPr>
          <w:ilvl w:val="1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ПрАТ «</w:t>
      </w:r>
      <w:proofErr w:type="spellStart"/>
      <w:r w:rsidRPr="007857BC">
        <w:rPr>
          <w:b/>
          <w:bCs/>
          <w:sz w:val="28"/>
          <w:szCs w:val="28"/>
          <w:lang w:val="uk-UA" w:eastAsia="uk-UA"/>
        </w:rPr>
        <w:t>Дікергофф</w:t>
      </w:r>
      <w:proofErr w:type="spellEnd"/>
      <w:r w:rsidRPr="007857BC">
        <w:rPr>
          <w:b/>
          <w:bCs/>
          <w:sz w:val="28"/>
          <w:szCs w:val="28"/>
          <w:lang w:val="uk-UA" w:eastAsia="uk-UA"/>
        </w:rPr>
        <w:t xml:space="preserve"> Цемент Україна»</w:t>
      </w:r>
      <w:r w:rsidRPr="007857BC">
        <w:rPr>
          <w:sz w:val="28"/>
          <w:szCs w:val="28"/>
          <w:lang w:val="uk-UA" w:eastAsia="uk-UA"/>
        </w:rPr>
        <w:t xml:space="preserve"> — забезпечено стабільні надходження земельного податку в сумі </w:t>
      </w:r>
      <w:r w:rsidRPr="007857BC">
        <w:rPr>
          <w:b/>
          <w:bCs/>
          <w:sz w:val="28"/>
          <w:szCs w:val="28"/>
          <w:lang w:val="uk-UA" w:eastAsia="uk-UA"/>
        </w:rPr>
        <w:t>10 900 000,00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1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АТ «Укрзалізниця»</w:t>
      </w:r>
      <w:r w:rsidRPr="007857BC">
        <w:rPr>
          <w:sz w:val="28"/>
          <w:szCs w:val="28"/>
          <w:lang w:val="uk-UA" w:eastAsia="uk-UA"/>
        </w:rPr>
        <w:t xml:space="preserve"> — забезпечено стабільні надходження земельного податку в сумі </w:t>
      </w:r>
      <w:r w:rsidRPr="007857BC">
        <w:rPr>
          <w:b/>
          <w:bCs/>
          <w:sz w:val="28"/>
          <w:szCs w:val="28"/>
          <w:lang w:val="uk-UA" w:eastAsia="uk-UA"/>
        </w:rPr>
        <w:t>7 300 000,00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Капітальні доходи:</w:t>
      </w:r>
      <w:r w:rsidRPr="007857BC">
        <w:rPr>
          <w:sz w:val="28"/>
          <w:szCs w:val="28"/>
          <w:lang w:val="uk-UA" w:eastAsia="uk-UA"/>
        </w:rPr>
        <w:t xml:space="preserve"> Від перших успішних операцій з капіталом, зокрема від продажу земельних ділянок несільськогосподарського призначення під об'єктами нерухомості, до бюджету розвитку залучено </w:t>
      </w:r>
      <w:r w:rsidRPr="007857BC">
        <w:rPr>
          <w:b/>
          <w:bCs/>
          <w:sz w:val="28"/>
          <w:szCs w:val="28"/>
          <w:lang w:val="uk-UA" w:eastAsia="uk-UA"/>
        </w:rPr>
        <w:t>600 000,00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2022 РІК (Забезпечення фінансової стійкості)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Попри складні зовнішні обставини, відділ забезпечив виконання планових показників загального та спеціального фондів:</w:t>
      </w:r>
    </w:p>
    <w:p w:rsidR="00800507" w:rsidRPr="007857BC" w:rsidRDefault="00800507" w:rsidP="0080050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Розвиток орендних відносин:</w:t>
      </w:r>
      <w:r w:rsidRPr="007857BC">
        <w:rPr>
          <w:sz w:val="28"/>
          <w:szCs w:val="28"/>
          <w:lang w:val="uk-UA" w:eastAsia="uk-UA"/>
        </w:rPr>
        <w:t xml:space="preserve"> За результатами укладання 10 нових договорів оренди сформовано додатковий щорічний потік надходжень у розмірі </w:t>
      </w:r>
      <w:r w:rsidRPr="007857BC">
        <w:rPr>
          <w:b/>
          <w:bCs/>
          <w:sz w:val="28"/>
          <w:szCs w:val="28"/>
          <w:lang w:val="uk-UA" w:eastAsia="uk-UA"/>
        </w:rPr>
        <w:t>33 081,00 грн</w:t>
      </w:r>
      <w:r w:rsidRPr="007857BC">
        <w:rPr>
          <w:sz w:val="28"/>
          <w:szCs w:val="28"/>
          <w:lang w:val="uk-UA" w:eastAsia="uk-UA"/>
        </w:rPr>
        <w:t>. В рамках системного контролю за строками користування вчасно поновлено дію 9 договорів, термін яких завершувався.</w:t>
      </w:r>
    </w:p>
    <w:p w:rsidR="00800507" w:rsidRPr="007857BC" w:rsidRDefault="00800507" w:rsidP="0080050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Надходження від продажу землі:</w:t>
      </w:r>
      <w:r w:rsidRPr="007857BC">
        <w:rPr>
          <w:sz w:val="28"/>
          <w:szCs w:val="28"/>
          <w:lang w:val="uk-UA" w:eastAsia="uk-UA"/>
        </w:rPr>
        <w:t xml:space="preserve"> Підготовлено та супроводжено 5 договорів купівлі-продажу ділянок у власність суб'єктам господарювання під існуючим нерухомим майном, що дало бюджету розвитку одноразовий капітальний дохід у сумі </w:t>
      </w:r>
      <w:r w:rsidRPr="007857BC">
        <w:rPr>
          <w:b/>
          <w:bCs/>
          <w:sz w:val="28"/>
          <w:szCs w:val="28"/>
          <w:lang w:val="uk-UA" w:eastAsia="uk-UA"/>
        </w:rPr>
        <w:t>502 886,00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Цільові кошти спеціального фонду:</w:t>
      </w:r>
      <w:r w:rsidRPr="007857BC">
        <w:rPr>
          <w:sz w:val="28"/>
          <w:szCs w:val="28"/>
          <w:lang w:val="uk-UA" w:eastAsia="uk-UA"/>
        </w:rPr>
        <w:t xml:space="preserve"> Забезпечено акумуляцію та планування надходжень від відшкодування втрат сільськогосподарського виробництва в сумі </w:t>
      </w:r>
      <w:r w:rsidRPr="007857BC">
        <w:rPr>
          <w:b/>
          <w:bCs/>
          <w:sz w:val="28"/>
          <w:szCs w:val="28"/>
          <w:lang w:val="uk-UA" w:eastAsia="uk-UA"/>
        </w:rPr>
        <w:t>370 000,00 грн</w:t>
      </w:r>
      <w:r w:rsidRPr="007857BC">
        <w:rPr>
          <w:sz w:val="28"/>
          <w:szCs w:val="28"/>
          <w:lang w:val="uk-UA" w:eastAsia="uk-UA"/>
        </w:rPr>
        <w:t>, які було спрямовано на фінансування розробки нових нормативно-грошових оцінок сіл громади.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2023 РІК (Стабільне функціонування та правовий контроль)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Звітний період відзначився системним нарощенням доходів від поточного розпорядження майном та успішним проведенням перших відкритих торгів:</w:t>
      </w:r>
    </w:p>
    <w:p w:rsidR="00800507" w:rsidRPr="007857BC" w:rsidRDefault="00800507" w:rsidP="0080050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Орендні надходження та перші аукціони:</w:t>
      </w:r>
      <w:r w:rsidRPr="007857BC">
        <w:rPr>
          <w:sz w:val="28"/>
          <w:szCs w:val="28"/>
          <w:lang w:val="uk-UA" w:eastAsia="uk-UA"/>
        </w:rPr>
        <w:t xml:space="preserve"> Сумарна річна орендна плата за 16 укладеними договорами склала </w:t>
      </w:r>
      <w:r w:rsidRPr="007857BC">
        <w:rPr>
          <w:b/>
          <w:bCs/>
          <w:sz w:val="28"/>
          <w:szCs w:val="28"/>
          <w:lang w:val="uk-UA" w:eastAsia="uk-UA"/>
        </w:rPr>
        <w:t>755 018,31 грн</w:t>
      </w:r>
      <w:r w:rsidRPr="007857BC">
        <w:rPr>
          <w:sz w:val="28"/>
          <w:szCs w:val="28"/>
          <w:lang w:val="uk-UA" w:eastAsia="uk-UA"/>
        </w:rPr>
        <w:t xml:space="preserve">. З цієї суми </w:t>
      </w:r>
      <w:r w:rsidRPr="007857BC">
        <w:rPr>
          <w:b/>
          <w:bCs/>
          <w:sz w:val="28"/>
          <w:szCs w:val="28"/>
          <w:lang w:val="uk-UA" w:eastAsia="uk-UA"/>
        </w:rPr>
        <w:t>331 502,70 грн</w:t>
      </w:r>
      <w:r w:rsidRPr="007857BC">
        <w:rPr>
          <w:sz w:val="28"/>
          <w:szCs w:val="28"/>
          <w:lang w:val="uk-UA" w:eastAsia="uk-UA"/>
        </w:rPr>
        <w:t xml:space="preserve"> забезпечено завдяки впровадженню практики проведення прозорих електронних аукціонів на право оренди комерційних площ.</w:t>
      </w:r>
    </w:p>
    <w:p w:rsidR="00800507" w:rsidRPr="007857BC" w:rsidRDefault="00800507" w:rsidP="0080050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Капітальні надходження від торгів та викупу:</w:t>
      </w:r>
      <w:r w:rsidRPr="007857BC">
        <w:rPr>
          <w:sz w:val="28"/>
          <w:szCs w:val="28"/>
          <w:lang w:val="uk-UA" w:eastAsia="uk-UA"/>
        </w:rPr>
        <w:t xml:space="preserve"> Загальна сума затверджених рішень про продаж ділянок у власність склала </w:t>
      </w:r>
      <w:r w:rsidRPr="007857BC">
        <w:rPr>
          <w:b/>
          <w:bCs/>
          <w:sz w:val="28"/>
          <w:szCs w:val="28"/>
          <w:lang w:val="uk-UA" w:eastAsia="uk-UA"/>
        </w:rPr>
        <w:t>769 228,00 грн</w:t>
      </w:r>
      <w:r w:rsidRPr="007857BC">
        <w:rPr>
          <w:sz w:val="28"/>
          <w:szCs w:val="28"/>
          <w:lang w:val="uk-UA" w:eastAsia="uk-UA"/>
        </w:rPr>
        <w:t xml:space="preserve"> (з яких за договорами поточного року сплачено </w:t>
      </w:r>
      <w:r w:rsidRPr="007857BC">
        <w:rPr>
          <w:b/>
          <w:bCs/>
          <w:sz w:val="28"/>
          <w:szCs w:val="28"/>
          <w:lang w:val="uk-UA" w:eastAsia="uk-UA"/>
        </w:rPr>
        <w:t>423 682,00 грн</w:t>
      </w:r>
      <w:r w:rsidRPr="007857BC">
        <w:rPr>
          <w:sz w:val="28"/>
          <w:szCs w:val="28"/>
          <w:lang w:val="uk-UA" w:eastAsia="uk-UA"/>
        </w:rPr>
        <w:t xml:space="preserve">, а </w:t>
      </w:r>
      <w:r w:rsidRPr="007857BC">
        <w:rPr>
          <w:b/>
          <w:bCs/>
          <w:sz w:val="28"/>
          <w:szCs w:val="28"/>
          <w:lang w:val="uk-UA" w:eastAsia="uk-UA"/>
        </w:rPr>
        <w:lastRenderedPageBreak/>
        <w:t>345 546,00 грн</w:t>
      </w:r>
      <w:r w:rsidRPr="007857BC">
        <w:rPr>
          <w:sz w:val="28"/>
          <w:szCs w:val="28"/>
          <w:lang w:val="uk-UA" w:eastAsia="uk-UA"/>
        </w:rPr>
        <w:t xml:space="preserve"> успішно </w:t>
      </w:r>
      <w:proofErr w:type="spellStart"/>
      <w:r w:rsidRPr="007857BC">
        <w:rPr>
          <w:sz w:val="28"/>
          <w:szCs w:val="28"/>
          <w:lang w:val="uk-UA" w:eastAsia="uk-UA"/>
        </w:rPr>
        <w:t>дооформлено</w:t>
      </w:r>
      <w:proofErr w:type="spellEnd"/>
      <w:r w:rsidRPr="007857BC">
        <w:rPr>
          <w:sz w:val="28"/>
          <w:szCs w:val="28"/>
          <w:lang w:val="uk-UA" w:eastAsia="uk-UA"/>
        </w:rPr>
        <w:t xml:space="preserve"> та зараховано на початку наступного періоду).</w:t>
      </w:r>
    </w:p>
    <w:p w:rsidR="00800507" w:rsidRPr="007857BC" w:rsidRDefault="00800507" w:rsidP="00800507">
      <w:pPr>
        <w:spacing w:before="100" w:beforeAutospacing="1" w:after="100" w:afterAutospacing="1"/>
        <w:ind w:left="720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Паралельно організовано та проведено 3 результативні аукціони з продажу права власності на земельні ділянки, що принесло значні кошти:</w:t>
      </w:r>
    </w:p>
    <w:p w:rsidR="00800507" w:rsidRPr="007857BC" w:rsidRDefault="00800507" w:rsidP="00800507">
      <w:pPr>
        <w:numPr>
          <w:ilvl w:val="1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Ділянка по вул. Шевченка — ціна продажу склала </w:t>
      </w:r>
      <w:r w:rsidRPr="007857BC">
        <w:rPr>
          <w:b/>
          <w:bCs/>
          <w:sz w:val="28"/>
          <w:szCs w:val="28"/>
          <w:lang w:val="uk-UA" w:eastAsia="uk-UA"/>
        </w:rPr>
        <w:t>121 000,00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1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Ділянка по вул. Заводська — ціна продажу склала </w:t>
      </w:r>
      <w:r w:rsidRPr="007857BC">
        <w:rPr>
          <w:b/>
          <w:bCs/>
          <w:sz w:val="28"/>
          <w:szCs w:val="28"/>
          <w:lang w:val="uk-UA" w:eastAsia="uk-UA"/>
        </w:rPr>
        <w:t>230 300,00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1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Ділянка по вул. Березнева — ціна продажу склала </w:t>
      </w:r>
      <w:r w:rsidRPr="007857BC">
        <w:rPr>
          <w:b/>
          <w:bCs/>
          <w:sz w:val="28"/>
          <w:szCs w:val="28"/>
          <w:lang w:val="uk-UA" w:eastAsia="uk-UA"/>
        </w:rPr>
        <w:t>305 000,00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Фінансово-правовий контроль:</w:t>
      </w:r>
      <w:r w:rsidRPr="007857BC">
        <w:rPr>
          <w:sz w:val="28"/>
          <w:szCs w:val="28"/>
          <w:lang w:val="uk-UA" w:eastAsia="uk-UA"/>
        </w:rPr>
        <w:t xml:space="preserve"> Спільно та за підтримки правоохоронних органів до місцевого бюджету було залучено кошти у сумі </w:t>
      </w:r>
      <w:r w:rsidRPr="007857BC">
        <w:rPr>
          <w:b/>
          <w:bCs/>
          <w:sz w:val="28"/>
          <w:szCs w:val="28"/>
          <w:lang w:val="uk-UA" w:eastAsia="uk-UA"/>
        </w:rPr>
        <w:t>13 284,40 грн</w:t>
      </w:r>
      <w:r w:rsidRPr="007857BC">
        <w:rPr>
          <w:sz w:val="28"/>
          <w:szCs w:val="28"/>
          <w:lang w:val="uk-UA" w:eastAsia="uk-UA"/>
        </w:rPr>
        <w:t xml:space="preserve"> відшкодування втрат сільськогосподарського виробництва. Додатково через засідання профільної комісії з відшкодування збитків за </w:t>
      </w:r>
      <w:proofErr w:type="spellStart"/>
      <w:r w:rsidRPr="007857BC">
        <w:rPr>
          <w:sz w:val="28"/>
          <w:szCs w:val="28"/>
          <w:lang w:val="uk-UA" w:eastAsia="uk-UA"/>
        </w:rPr>
        <w:t>бездоговірне</w:t>
      </w:r>
      <w:proofErr w:type="spellEnd"/>
      <w:r w:rsidRPr="007857BC">
        <w:rPr>
          <w:sz w:val="28"/>
          <w:szCs w:val="28"/>
          <w:lang w:val="uk-UA" w:eastAsia="uk-UA"/>
        </w:rPr>
        <w:t xml:space="preserve"> використання комерційних площ стягнуто </w:t>
      </w:r>
      <w:r w:rsidRPr="007857BC">
        <w:rPr>
          <w:b/>
          <w:bCs/>
          <w:sz w:val="28"/>
          <w:szCs w:val="28"/>
          <w:lang w:val="uk-UA" w:eastAsia="uk-UA"/>
        </w:rPr>
        <w:t>91 830,00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2024 РІК (Індустріальний прорив та інвестиційні надходження)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Цей період став роком залучення стратегічних інвесторів та отримання надприбутків від земельних торгів:</w:t>
      </w:r>
    </w:p>
    <w:p w:rsidR="00800507" w:rsidRPr="007857BC" w:rsidRDefault="00800507" w:rsidP="0080050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Орендна плата:</w:t>
      </w:r>
      <w:r w:rsidRPr="007857BC">
        <w:rPr>
          <w:sz w:val="28"/>
          <w:szCs w:val="28"/>
          <w:lang w:val="uk-UA" w:eastAsia="uk-UA"/>
        </w:rPr>
        <w:t xml:space="preserve"> Адміністрування 10 нових договорів оренди додало до бюджету </w:t>
      </w:r>
      <w:r w:rsidRPr="007857BC">
        <w:rPr>
          <w:b/>
          <w:bCs/>
          <w:sz w:val="28"/>
          <w:szCs w:val="28"/>
          <w:lang w:val="uk-UA" w:eastAsia="uk-UA"/>
        </w:rPr>
        <w:t>83 786,92 грн</w:t>
      </w:r>
      <w:r w:rsidRPr="007857BC">
        <w:rPr>
          <w:sz w:val="28"/>
          <w:szCs w:val="28"/>
          <w:lang w:val="uk-UA" w:eastAsia="uk-UA"/>
        </w:rPr>
        <w:t xml:space="preserve"> річних нарахувань. Завдяки чіткій роботі спеціалістів відділу своєчасно переукладено та продовжено 9 договорів оренди, термін яких добігав кінця.</w:t>
      </w:r>
    </w:p>
    <w:p w:rsidR="00800507" w:rsidRPr="007857BC" w:rsidRDefault="00800507" w:rsidP="0080050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 xml:space="preserve">Продаж під об'єктами </w:t>
      </w:r>
      <w:proofErr w:type="spellStart"/>
      <w:r w:rsidRPr="007857BC">
        <w:rPr>
          <w:b/>
          <w:bCs/>
          <w:sz w:val="28"/>
          <w:szCs w:val="28"/>
          <w:lang w:val="uk-UA" w:eastAsia="uk-UA"/>
        </w:rPr>
        <w:t>нерухомости</w:t>
      </w:r>
      <w:proofErr w:type="spellEnd"/>
      <w:r w:rsidRPr="007857BC">
        <w:rPr>
          <w:b/>
          <w:bCs/>
          <w:sz w:val="28"/>
          <w:szCs w:val="28"/>
          <w:lang w:val="uk-UA" w:eastAsia="uk-UA"/>
        </w:rPr>
        <w:t>:</w:t>
      </w:r>
      <w:r w:rsidRPr="007857BC">
        <w:rPr>
          <w:sz w:val="28"/>
          <w:szCs w:val="28"/>
          <w:lang w:val="uk-UA" w:eastAsia="uk-UA"/>
        </w:rPr>
        <w:t xml:space="preserve"> Забезпечено надходження від викупу 2 ділянок поточними власниками будівель на суму </w:t>
      </w:r>
      <w:r w:rsidRPr="007857BC">
        <w:rPr>
          <w:b/>
          <w:bCs/>
          <w:sz w:val="28"/>
          <w:szCs w:val="28"/>
          <w:lang w:val="uk-UA" w:eastAsia="uk-UA"/>
        </w:rPr>
        <w:t>604 594,00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Історичний максимум земельних торгів:</w:t>
      </w:r>
      <w:r w:rsidRPr="007857BC">
        <w:rPr>
          <w:sz w:val="28"/>
          <w:szCs w:val="28"/>
          <w:lang w:val="uk-UA" w:eastAsia="uk-UA"/>
        </w:rPr>
        <w:t xml:space="preserve"> В межах Земельної програми підготовлено та успішно реалізовано на відкритому аукціоні право власності на земельну ділянку промислового призначення площею 15,000 га за межами </w:t>
      </w:r>
      <w:proofErr w:type="spellStart"/>
      <w:r w:rsidRPr="007857BC">
        <w:rPr>
          <w:sz w:val="28"/>
          <w:szCs w:val="28"/>
          <w:lang w:val="uk-UA" w:eastAsia="uk-UA"/>
        </w:rPr>
        <w:t>П’ятигірського</w:t>
      </w:r>
      <w:proofErr w:type="spellEnd"/>
      <w:r w:rsidRPr="007857BC">
        <w:rPr>
          <w:sz w:val="28"/>
          <w:szCs w:val="28"/>
          <w:lang w:val="uk-UA" w:eastAsia="uk-UA"/>
        </w:rPr>
        <w:t xml:space="preserve"> </w:t>
      </w:r>
      <w:proofErr w:type="spellStart"/>
      <w:r w:rsidRPr="007857BC">
        <w:rPr>
          <w:sz w:val="28"/>
          <w:szCs w:val="28"/>
          <w:lang w:val="uk-UA" w:eastAsia="uk-UA"/>
        </w:rPr>
        <w:t>старостинського</w:t>
      </w:r>
      <w:proofErr w:type="spellEnd"/>
      <w:r w:rsidRPr="007857BC">
        <w:rPr>
          <w:sz w:val="28"/>
          <w:szCs w:val="28"/>
          <w:lang w:val="uk-UA" w:eastAsia="uk-UA"/>
        </w:rPr>
        <w:t xml:space="preserve"> округу. Переможцем конкурентних торгів стало </w:t>
      </w:r>
      <w:r w:rsidRPr="007857BC">
        <w:rPr>
          <w:b/>
          <w:bCs/>
          <w:sz w:val="28"/>
          <w:szCs w:val="28"/>
          <w:lang w:val="uk-UA" w:eastAsia="uk-UA"/>
        </w:rPr>
        <w:t>ТОВ «ОРІЄНТИР-РІВНЕ» (код ЄДРПОУ 45636829)</w:t>
      </w:r>
      <w:r w:rsidRPr="007857BC">
        <w:rPr>
          <w:sz w:val="28"/>
          <w:szCs w:val="28"/>
          <w:lang w:val="uk-UA" w:eastAsia="uk-UA"/>
        </w:rPr>
        <w:t xml:space="preserve">, яке придбало масив для розміщення переробних та машинобудівних потужностей. Завдяки високій конкуренції стартова ціна (10,45 млн грн) зросла до фінальних </w:t>
      </w:r>
      <w:r w:rsidRPr="007857BC">
        <w:rPr>
          <w:b/>
          <w:bCs/>
          <w:sz w:val="28"/>
          <w:szCs w:val="28"/>
          <w:lang w:val="uk-UA" w:eastAsia="uk-UA"/>
        </w:rPr>
        <w:t>13 800 000,00 грн</w:t>
      </w:r>
      <w:r w:rsidRPr="007857BC">
        <w:rPr>
          <w:sz w:val="28"/>
          <w:szCs w:val="28"/>
          <w:lang w:val="uk-UA" w:eastAsia="uk-UA"/>
        </w:rPr>
        <w:t>, які у повному обсязі надійшли до бюджету розвитку.</w:t>
      </w:r>
    </w:p>
    <w:p w:rsidR="00800507" w:rsidRPr="007857BC" w:rsidRDefault="00800507" w:rsidP="00800507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Компенсаційні надходження:</w:t>
      </w:r>
      <w:r w:rsidRPr="007857BC">
        <w:rPr>
          <w:sz w:val="28"/>
          <w:szCs w:val="28"/>
          <w:lang w:val="uk-UA" w:eastAsia="uk-UA"/>
        </w:rPr>
        <w:t xml:space="preserve"> Проведено успішну претензійну роботу, результатом якої стало стягнення до спеціального фонду громади </w:t>
      </w:r>
      <w:r w:rsidRPr="007857BC">
        <w:rPr>
          <w:b/>
          <w:bCs/>
          <w:sz w:val="28"/>
          <w:szCs w:val="28"/>
          <w:lang w:val="uk-UA" w:eastAsia="uk-UA"/>
        </w:rPr>
        <w:t>3 889 888,48 грн</w:t>
      </w:r>
      <w:r w:rsidRPr="007857BC">
        <w:rPr>
          <w:sz w:val="28"/>
          <w:szCs w:val="28"/>
          <w:lang w:val="uk-UA" w:eastAsia="uk-UA"/>
        </w:rPr>
        <w:t xml:space="preserve"> від втрат лісогосподарського виробництва. Робота комісії з визначення збитків принесла ще </w:t>
      </w:r>
      <w:r w:rsidRPr="007857BC">
        <w:rPr>
          <w:b/>
          <w:bCs/>
          <w:sz w:val="28"/>
          <w:szCs w:val="28"/>
          <w:lang w:val="uk-UA" w:eastAsia="uk-UA"/>
        </w:rPr>
        <w:t>33 969,00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lastRenderedPageBreak/>
        <w:t>2025 РІК (Абсолютний рекорд фінансових надходжень)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Рік відзначився тотальним розширенням орендної бази та застосуванням актуалізованої нормативно-грошової оцінки:</w:t>
      </w:r>
    </w:p>
    <w:p w:rsidR="00800507" w:rsidRPr="007857BC" w:rsidRDefault="00800507" w:rsidP="0080050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Зростання доходів від оренди та аукціонів:</w:t>
      </w:r>
      <w:r w:rsidRPr="007857BC">
        <w:rPr>
          <w:sz w:val="28"/>
          <w:szCs w:val="28"/>
          <w:lang w:val="uk-UA" w:eastAsia="uk-UA"/>
        </w:rPr>
        <w:t xml:space="preserve"> Укладено 32 нові договори оренди із сумарною річною платою </w:t>
      </w:r>
      <w:r w:rsidRPr="007857BC">
        <w:rPr>
          <w:b/>
          <w:bCs/>
          <w:sz w:val="28"/>
          <w:szCs w:val="28"/>
          <w:lang w:val="uk-UA" w:eastAsia="uk-UA"/>
        </w:rPr>
        <w:t>1 512 591,46 грн</w:t>
      </w:r>
      <w:r w:rsidRPr="007857BC">
        <w:rPr>
          <w:sz w:val="28"/>
          <w:szCs w:val="28"/>
          <w:lang w:val="uk-UA" w:eastAsia="uk-UA"/>
        </w:rPr>
        <w:t xml:space="preserve"> (зокрема, два аукціони на право оренди комерційних площ принесли бюджету </w:t>
      </w:r>
      <w:r w:rsidRPr="007857BC">
        <w:rPr>
          <w:b/>
          <w:bCs/>
          <w:sz w:val="28"/>
          <w:szCs w:val="28"/>
          <w:lang w:val="uk-UA" w:eastAsia="uk-UA"/>
        </w:rPr>
        <w:t>833 000,00 грн</w:t>
      </w:r>
      <w:r w:rsidRPr="007857BC">
        <w:rPr>
          <w:sz w:val="28"/>
          <w:szCs w:val="28"/>
          <w:lang w:val="uk-UA" w:eastAsia="uk-UA"/>
        </w:rPr>
        <w:t xml:space="preserve"> на рік).</w:t>
      </w:r>
    </w:p>
    <w:p w:rsidR="00800507" w:rsidRPr="007857BC" w:rsidRDefault="00800507" w:rsidP="0080050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Капітальний дохід від приватизації:</w:t>
      </w:r>
      <w:r w:rsidRPr="007857BC">
        <w:rPr>
          <w:sz w:val="28"/>
          <w:szCs w:val="28"/>
          <w:lang w:val="uk-UA" w:eastAsia="uk-UA"/>
        </w:rPr>
        <w:t xml:space="preserve"> Опрацьовано 12 рішень про продаж ділянок у власність під об'єктами нерухомості на суму </w:t>
      </w:r>
      <w:r w:rsidRPr="007857BC">
        <w:rPr>
          <w:b/>
          <w:bCs/>
          <w:sz w:val="28"/>
          <w:szCs w:val="28"/>
          <w:lang w:val="uk-UA" w:eastAsia="uk-UA"/>
        </w:rPr>
        <w:t>3 178 717,00 грн</w:t>
      </w:r>
      <w:r w:rsidRPr="007857BC">
        <w:rPr>
          <w:sz w:val="28"/>
          <w:szCs w:val="28"/>
          <w:lang w:val="uk-UA" w:eastAsia="uk-UA"/>
        </w:rPr>
        <w:t>.</w:t>
      </w:r>
    </w:p>
    <w:p w:rsidR="00800507" w:rsidRPr="007857BC" w:rsidRDefault="00800507" w:rsidP="0080050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Зведений фінансовий звіт за 2025 рік:</w:t>
      </w:r>
      <w:r w:rsidRPr="007857BC">
        <w:rPr>
          <w:sz w:val="28"/>
          <w:szCs w:val="28"/>
          <w:lang w:val="uk-UA" w:eastAsia="uk-UA"/>
        </w:rPr>
        <w:t xml:space="preserve"> Сумарні річні надходження за всіма земельними статтями досягли максимальних історичних показників:</w:t>
      </w:r>
    </w:p>
    <w:p w:rsidR="00800507" w:rsidRPr="007857BC" w:rsidRDefault="00800507" w:rsidP="00800507">
      <w:pPr>
        <w:numPr>
          <w:ilvl w:val="1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Земельний податок з юридичних осіб — </w:t>
      </w:r>
      <w:r w:rsidRPr="007857BC">
        <w:rPr>
          <w:b/>
          <w:bCs/>
          <w:sz w:val="28"/>
          <w:szCs w:val="28"/>
          <w:lang w:val="uk-UA" w:eastAsia="uk-UA"/>
        </w:rPr>
        <w:t>28 418 877,14 грн</w:t>
      </w:r>
    </w:p>
    <w:p w:rsidR="00800507" w:rsidRPr="007857BC" w:rsidRDefault="00800507" w:rsidP="00800507">
      <w:pPr>
        <w:numPr>
          <w:ilvl w:val="1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Земельний податок з фізичних осіб — </w:t>
      </w:r>
      <w:r w:rsidRPr="007857BC">
        <w:rPr>
          <w:b/>
          <w:bCs/>
          <w:sz w:val="28"/>
          <w:szCs w:val="28"/>
          <w:lang w:val="uk-UA" w:eastAsia="uk-UA"/>
        </w:rPr>
        <w:t>1 660 518,66 грн</w:t>
      </w:r>
    </w:p>
    <w:p w:rsidR="00800507" w:rsidRPr="007857BC" w:rsidRDefault="00800507" w:rsidP="00800507">
      <w:pPr>
        <w:numPr>
          <w:ilvl w:val="1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Орендна плата з юридичних осіб — </w:t>
      </w:r>
      <w:r w:rsidRPr="007857BC">
        <w:rPr>
          <w:b/>
          <w:bCs/>
          <w:sz w:val="28"/>
          <w:szCs w:val="28"/>
          <w:lang w:val="uk-UA" w:eastAsia="uk-UA"/>
        </w:rPr>
        <w:t>15 065 730,77 грн</w:t>
      </w:r>
    </w:p>
    <w:p w:rsidR="00800507" w:rsidRPr="007857BC" w:rsidRDefault="00800507" w:rsidP="00800507">
      <w:pPr>
        <w:numPr>
          <w:ilvl w:val="1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Орендна плата з фізичних осіб — </w:t>
      </w:r>
      <w:r w:rsidRPr="007857BC">
        <w:rPr>
          <w:b/>
          <w:bCs/>
          <w:sz w:val="28"/>
          <w:szCs w:val="28"/>
          <w:lang w:val="uk-UA" w:eastAsia="uk-UA"/>
        </w:rPr>
        <w:t>1 821 186,01 грн</w:t>
      </w:r>
    </w:p>
    <w:p w:rsidR="00800507" w:rsidRPr="007857BC" w:rsidRDefault="00800507" w:rsidP="00800507">
      <w:pPr>
        <w:numPr>
          <w:ilvl w:val="1"/>
          <w:numId w:val="6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Прямі кошти від продажу землі у власність — </w:t>
      </w:r>
      <w:r w:rsidRPr="007857BC">
        <w:rPr>
          <w:b/>
          <w:bCs/>
          <w:sz w:val="28"/>
          <w:szCs w:val="28"/>
          <w:lang w:val="uk-UA" w:eastAsia="uk-UA"/>
        </w:rPr>
        <w:t>1 877 323,00 грн</w:t>
      </w:r>
    </w:p>
    <w:p w:rsidR="00800507" w:rsidRPr="007857BC" w:rsidRDefault="00800507" w:rsidP="00800507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2026 РІК (Станом на 31.05.2026)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За перші 5 місяців поточного року відділ продемонстрував високу динаміку виконання планових показників наповнення бюджету, забезпечивши такі фінансові результати:</w:t>
      </w:r>
    </w:p>
    <w:p w:rsidR="00800507" w:rsidRPr="007857BC" w:rsidRDefault="00800507" w:rsidP="00800507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Земельний податок: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Від юридичних осіб надійшло — </w:t>
      </w:r>
      <w:r w:rsidRPr="007857BC">
        <w:rPr>
          <w:b/>
          <w:bCs/>
          <w:sz w:val="28"/>
          <w:szCs w:val="28"/>
          <w:lang w:val="uk-UA" w:eastAsia="uk-UA"/>
        </w:rPr>
        <w:t>12 800 443,64 грн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Від фізичних осіб надійшло — </w:t>
      </w:r>
      <w:r w:rsidRPr="007857BC">
        <w:rPr>
          <w:b/>
          <w:bCs/>
          <w:sz w:val="28"/>
          <w:szCs w:val="28"/>
          <w:lang w:val="uk-UA" w:eastAsia="uk-UA"/>
        </w:rPr>
        <w:t>975 386,71 грн</w:t>
      </w:r>
    </w:p>
    <w:p w:rsidR="00800507" w:rsidRPr="007857BC" w:rsidRDefault="00800507" w:rsidP="00800507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Орендна плата за земельні ділянки: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Від юридичних осіб надійшло — </w:t>
      </w:r>
      <w:r w:rsidRPr="007857BC">
        <w:rPr>
          <w:b/>
          <w:bCs/>
          <w:sz w:val="28"/>
          <w:szCs w:val="28"/>
          <w:lang w:val="uk-UA" w:eastAsia="uk-UA"/>
        </w:rPr>
        <w:t>7 185 083,80 грн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Від фізичних осіб надійшло — </w:t>
      </w:r>
      <w:r w:rsidRPr="007857BC">
        <w:rPr>
          <w:b/>
          <w:bCs/>
          <w:sz w:val="28"/>
          <w:szCs w:val="28"/>
          <w:lang w:val="uk-UA" w:eastAsia="uk-UA"/>
        </w:rPr>
        <w:t>1 129 653,93 грн</w:t>
      </w:r>
    </w:p>
    <w:p w:rsidR="00800507" w:rsidRPr="007857BC" w:rsidRDefault="00800507" w:rsidP="00800507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Ефективне адміністрування торгів та капітальні надходження: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Завдяки довгостроковому фінансовому ефекту від раніше проведених успішних аукціонів, надходження орендної плати за поточні місяці склали — </w:t>
      </w:r>
      <w:r w:rsidRPr="007857BC">
        <w:rPr>
          <w:b/>
          <w:bCs/>
          <w:sz w:val="28"/>
          <w:szCs w:val="28"/>
          <w:lang w:val="uk-UA" w:eastAsia="uk-UA"/>
        </w:rPr>
        <w:t>1 303 814,00 грн</w:t>
      </w:r>
    </w:p>
    <w:p w:rsidR="00800507" w:rsidRPr="007857BC" w:rsidRDefault="00800507" w:rsidP="00800507">
      <w:pPr>
        <w:numPr>
          <w:ilvl w:val="1"/>
          <w:numId w:val="7"/>
        </w:num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 xml:space="preserve">Кошти, отримані від укладання нових угод купівлі-продажу земель, становлять — </w:t>
      </w:r>
      <w:r w:rsidRPr="007857BC">
        <w:rPr>
          <w:b/>
          <w:bCs/>
          <w:sz w:val="28"/>
          <w:szCs w:val="28"/>
          <w:lang w:val="uk-UA" w:eastAsia="uk-UA"/>
        </w:rPr>
        <w:t>68 670,00 грн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b/>
          <w:bCs/>
          <w:sz w:val="28"/>
          <w:szCs w:val="28"/>
          <w:lang w:val="uk-UA" w:eastAsia="uk-UA"/>
        </w:rPr>
        <w:t>Висновки та пріоритети на наступний період:</w:t>
      </w:r>
      <w:r w:rsidRPr="007857BC">
        <w:rPr>
          <w:sz w:val="28"/>
          <w:szCs w:val="28"/>
          <w:lang w:val="uk-UA" w:eastAsia="uk-UA"/>
        </w:rPr>
        <w:t xml:space="preserve"> Аналіз багаторічних показників (з 2021 по теперішній час) наочно засвідчує високу економічну ефективність обраної моделі управління земельними ресурсами. Завдяки послідовному виконанню заходів Земельної програми, регулярному оновленню нормативно-грошової оцінки, залученню потужних інвесторів та </w:t>
      </w:r>
      <w:r w:rsidRPr="007857BC">
        <w:rPr>
          <w:sz w:val="28"/>
          <w:szCs w:val="28"/>
          <w:lang w:val="uk-UA" w:eastAsia="uk-UA"/>
        </w:rPr>
        <w:lastRenderedPageBreak/>
        <w:t>безперервному адмініструванню договорів оренди, земля стала одним із головних і найбільш стабільних джерел фінансової спроможності Здолбунівської громади.</w:t>
      </w:r>
    </w:p>
    <w:p w:rsidR="00800507" w:rsidRPr="007857BC" w:rsidRDefault="00800507" w:rsidP="00800507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7857BC">
        <w:rPr>
          <w:sz w:val="28"/>
          <w:szCs w:val="28"/>
          <w:lang w:val="uk-UA" w:eastAsia="uk-UA"/>
        </w:rPr>
        <w:t>Пріоритетним напрямком роботи відділу залишається збереження цієї стійкої позитивної динаміки, забезпечення повноти надходжень до загального та спеціального фондів, а також подальший розвиток системи відкритих земельних торгів як головного інструменту капітального наповнення бюджету.</w:t>
      </w:r>
    </w:p>
    <w:p w:rsidR="00800507" w:rsidRPr="007857BC" w:rsidRDefault="00800507" w:rsidP="00800507">
      <w:pPr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7857BC" w:rsidRPr="007857BC" w:rsidRDefault="003233C6" w:rsidP="00800507">
      <w:pPr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 xml:space="preserve">В.о. начальника </w:t>
      </w:r>
      <w:r w:rsidR="00800507" w:rsidRPr="007857BC">
        <w:rPr>
          <w:sz w:val="28"/>
          <w:szCs w:val="28"/>
          <w:lang w:val="uk-UA"/>
        </w:rPr>
        <w:t>відділу</w:t>
      </w:r>
      <w:r w:rsidRPr="007857BC">
        <w:rPr>
          <w:sz w:val="28"/>
          <w:szCs w:val="28"/>
          <w:lang w:val="uk-UA"/>
        </w:rPr>
        <w:tab/>
      </w:r>
      <w:r w:rsidR="007857BC" w:rsidRPr="007857BC">
        <w:rPr>
          <w:sz w:val="28"/>
          <w:szCs w:val="28"/>
          <w:lang w:val="uk-UA"/>
        </w:rPr>
        <w:t xml:space="preserve"> </w:t>
      </w:r>
    </w:p>
    <w:p w:rsidR="00800507" w:rsidRPr="007857BC" w:rsidRDefault="007857BC" w:rsidP="00800507">
      <w:pPr>
        <w:rPr>
          <w:sz w:val="28"/>
          <w:szCs w:val="28"/>
          <w:lang w:val="uk-UA"/>
        </w:rPr>
      </w:pPr>
      <w:r w:rsidRPr="007857BC">
        <w:rPr>
          <w:sz w:val="28"/>
          <w:szCs w:val="28"/>
          <w:lang w:val="uk-UA"/>
        </w:rPr>
        <w:t>з питань землекористування</w:t>
      </w:r>
      <w:r w:rsidR="003233C6" w:rsidRPr="007857BC">
        <w:rPr>
          <w:sz w:val="28"/>
          <w:szCs w:val="28"/>
          <w:lang w:val="uk-UA"/>
        </w:rPr>
        <w:tab/>
      </w:r>
      <w:r w:rsidR="003233C6" w:rsidRPr="007857BC">
        <w:rPr>
          <w:sz w:val="28"/>
          <w:szCs w:val="28"/>
          <w:lang w:val="uk-UA"/>
        </w:rPr>
        <w:tab/>
      </w:r>
      <w:r w:rsidR="003233C6" w:rsidRPr="007857BC">
        <w:rPr>
          <w:sz w:val="28"/>
          <w:szCs w:val="28"/>
          <w:lang w:val="uk-UA"/>
        </w:rPr>
        <w:tab/>
      </w:r>
      <w:r w:rsidR="003233C6" w:rsidRPr="007857BC">
        <w:rPr>
          <w:sz w:val="28"/>
          <w:szCs w:val="28"/>
          <w:lang w:val="uk-UA"/>
        </w:rPr>
        <w:tab/>
      </w:r>
      <w:r w:rsidR="003233C6" w:rsidRPr="007857BC">
        <w:rPr>
          <w:sz w:val="28"/>
          <w:szCs w:val="28"/>
          <w:lang w:val="uk-UA"/>
        </w:rPr>
        <w:tab/>
      </w:r>
      <w:r w:rsidR="003233C6" w:rsidRPr="007857BC">
        <w:rPr>
          <w:sz w:val="28"/>
          <w:szCs w:val="28"/>
          <w:lang w:val="uk-UA"/>
        </w:rPr>
        <w:tab/>
        <w:t>Василь ДРОЗД</w:t>
      </w: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5D5ABC" w:rsidRPr="007857BC" w:rsidRDefault="005D5ABC" w:rsidP="00201CD1">
      <w:pPr>
        <w:tabs>
          <w:tab w:val="left" w:pos="2895"/>
        </w:tabs>
        <w:rPr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144B53" w:rsidRPr="007857BC" w:rsidRDefault="00144B53" w:rsidP="00144B53">
      <w:pPr>
        <w:jc w:val="center"/>
        <w:rPr>
          <w:color w:val="000000"/>
          <w:sz w:val="28"/>
          <w:szCs w:val="28"/>
          <w:lang w:val="uk-UA"/>
        </w:rPr>
      </w:pPr>
    </w:p>
    <w:p w:rsidR="00586CD3" w:rsidRPr="007857BC" w:rsidRDefault="00586CD3" w:rsidP="00201CD1">
      <w:pPr>
        <w:tabs>
          <w:tab w:val="left" w:pos="2895"/>
        </w:tabs>
        <w:rPr>
          <w:sz w:val="28"/>
          <w:szCs w:val="28"/>
          <w:lang w:val="uk-UA"/>
        </w:rPr>
      </w:pPr>
    </w:p>
    <w:sectPr w:rsidR="00586CD3" w:rsidRPr="007857BC" w:rsidSect="00EC3182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70" w:rsidRDefault="00EB7770" w:rsidP="00481D20">
      <w:r>
        <w:separator/>
      </w:r>
    </w:p>
  </w:endnote>
  <w:endnote w:type="continuationSeparator" w:id="0">
    <w:p w:rsidR="00EB7770" w:rsidRDefault="00EB7770" w:rsidP="0048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70" w:rsidRDefault="00EB7770" w:rsidP="00481D20">
      <w:r>
        <w:separator/>
      </w:r>
    </w:p>
  </w:footnote>
  <w:footnote w:type="continuationSeparator" w:id="0">
    <w:p w:rsidR="00EB7770" w:rsidRDefault="00EB7770" w:rsidP="0048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C3" w:rsidRPr="009547C3" w:rsidRDefault="009547C3">
    <w:pPr>
      <w:pStyle w:val="a6"/>
      <w:jc w:val="center"/>
      <w:rPr>
        <w:lang w:val="uk-UA"/>
      </w:rPr>
    </w:pPr>
  </w:p>
  <w:p w:rsidR="007E4FCC" w:rsidRPr="00B1384F" w:rsidRDefault="007E4FCC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C7A"/>
    <w:multiLevelType w:val="multilevel"/>
    <w:tmpl w:val="F51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2A45"/>
    <w:multiLevelType w:val="multilevel"/>
    <w:tmpl w:val="ACB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208DD"/>
    <w:multiLevelType w:val="multilevel"/>
    <w:tmpl w:val="6040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6195E"/>
    <w:multiLevelType w:val="hybridMultilevel"/>
    <w:tmpl w:val="B15ED86C"/>
    <w:lvl w:ilvl="0" w:tplc="71B8236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10E82"/>
    <w:multiLevelType w:val="multilevel"/>
    <w:tmpl w:val="760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64876"/>
    <w:multiLevelType w:val="multilevel"/>
    <w:tmpl w:val="27E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85678"/>
    <w:multiLevelType w:val="multilevel"/>
    <w:tmpl w:val="F04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CD1"/>
    <w:rsid w:val="000011CA"/>
    <w:rsid w:val="00017AE0"/>
    <w:rsid w:val="000356A5"/>
    <w:rsid w:val="000767CC"/>
    <w:rsid w:val="000826CC"/>
    <w:rsid w:val="0009730F"/>
    <w:rsid w:val="000A2B3F"/>
    <w:rsid w:val="000B3872"/>
    <w:rsid w:val="000B487F"/>
    <w:rsid w:val="000D454F"/>
    <w:rsid w:val="000E47A3"/>
    <w:rsid w:val="00113277"/>
    <w:rsid w:val="00114EFE"/>
    <w:rsid w:val="00144B53"/>
    <w:rsid w:val="0015459B"/>
    <w:rsid w:val="00166FB5"/>
    <w:rsid w:val="00201CD1"/>
    <w:rsid w:val="00234BB0"/>
    <w:rsid w:val="00273D95"/>
    <w:rsid w:val="00287BD0"/>
    <w:rsid w:val="00291249"/>
    <w:rsid w:val="002D71AF"/>
    <w:rsid w:val="002E06B0"/>
    <w:rsid w:val="002F04F4"/>
    <w:rsid w:val="003022CF"/>
    <w:rsid w:val="00315381"/>
    <w:rsid w:val="003233C6"/>
    <w:rsid w:val="0038498A"/>
    <w:rsid w:val="00394426"/>
    <w:rsid w:val="00395876"/>
    <w:rsid w:val="003C6130"/>
    <w:rsid w:val="004114C1"/>
    <w:rsid w:val="00434F45"/>
    <w:rsid w:val="00444B6B"/>
    <w:rsid w:val="00447B3F"/>
    <w:rsid w:val="00481D20"/>
    <w:rsid w:val="004D56DB"/>
    <w:rsid w:val="004E6C2E"/>
    <w:rsid w:val="0050224F"/>
    <w:rsid w:val="00540BE5"/>
    <w:rsid w:val="00554AFB"/>
    <w:rsid w:val="00554E47"/>
    <w:rsid w:val="00567634"/>
    <w:rsid w:val="005761DB"/>
    <w:rsid w:val="00586CD3"/>
    <w:rsid w:val="0059039D"/>
    <w:rsid w:val="00596B8A"/>
    <w:rsid w:val="005B45B5"/>
    <w:rsid w:val="005D5ABC"/>
    <w:rsid w:val="0060501A"/>
    <w:rsid w:val="006617EA"/>
    <w:rsid w:val="006646CC"/>
    <w:rsid w:val="00683622"/>
    <w:rsid w:val="006A1938"/>
    <w:rsid w:val="006B7859"/>
    <w:rsid w:val="006C06E5"/>
    <w:rsid w:val="006C21CD"/>
    <w:rsid w:val="006C45BC"/>
    <w:rsid w:val="006D3AE9"/>
    <w:rsid w:val="006D4E2E"/>
    <w:rsid w:val="006E0A75"/>
    <w:rsid w:val="006E2493"/>
    <w:rsid w:val="00712DBC"/>
    <w:rsid w:val="007219DB"/>
    <w:rsid w:val="00726212"/>
    <w:rsid w:val="0076227C"/>
    <w:rsid w:val="00775CF0"/>
    <w:rsid w:val="007857BC"/>
    <w:rsid w:val="007864FF"/>
    <w:rsid w:val="00787B5B"/>
    <w:rsid w:val="007978D1"/>
    <w:rsid w:val="007E2EB8"/>
    <w:rsid w:val="007E4FCC"/>
    <w:rsid w:val="00800507"/>
    <w:rsid w:val="0081372E"/>
    <w:rsid w:val="008155D1"/>
    <w:rsid w:val="00825169"/>
    <w:rsid w:val="008267CA"/>
    <w:rsid w:val="00826CF3"/>
    <w:rsid w:val="00826D6B"/>
    <w:rsid w:val="00846A94"/>
    <w:rsid w:val="008512F5"/>
    <w:rsid w:val="00870E26"/>
    <w:rsid w:val="0087361A"/>
    <w:rsid w:val="008A0CA4"/>
    <w:rsid w:val="008D6A11"/>
    <w:rsid w:val="008E3766"/>
    <w:rsid w:val="009024D3"/>
    <w:rsid w:val="00907962"/>
    <w:rsid w:val="009547C3"/>
    <w:rsid w:val="00997419"/>
    <w:rsid w:val="009B2A5D"/>
    <w:rsid w:val="009F608D"/>
    <w:rsid w:val="00A2314A"/>
    <w:rsid w:val="00A412D4"/>
    <w:rsid w:val="00A47338"/>
    <w:rsid w:val="00A53791"/>
    <w:rsid w:val="00A572D6"/>
    <w:rsid w:val="00A67030"/>
    <w:rsid w:val="00A7032F"/>
    <w:rsid w:val="00A90E9D"/>
    <w:rsid w:val="00AC6E9F"/>
    <w:rsid w:val="00B015BF"/>
    <w:rsid w:val="00B1384F"/>
    <w:rsid w:val="00B30543"/>
    <w:rsid w:val="00B50D7A"/>
    <w:rsid w:val="00B51633"/>
    <w:rsid w:val="00B54E5F"/>
    <w:rsid w:val="00B71593"/>
    <w:rsid w:val="00B844ED"/>
    <w:rsid w:val="00BC5F1E"/>
    <w:rsid w:val="00BC6C92"/>
    <w:rsid w:val="00BD2789"/>
    <w:rsid w:val="00BF7744"/>
    <w:rsid w:val="00C11CEF"/>
    <w:rsid w:val="00C13A50"/>
    <w:rsid w:val="00C22101"/>
    <w:rsid w:val="00C50C36"/>
    <w:rsid w:val="00C6565E"/>
    <w:rsid w:val="00C82FC6"/>
    <w:rsid w:val="00C87D31"/>
    <w:rsid w:val="00CF2008"/>
    <w:rsid w:val="00D63B33"/>
    <w:rsid w:val="00D6651E"/>
    <w:rsid w:val="00D72C8F"/>
    <w:rsid w:val="00D86D27"/>
    <w:rsid w:val="00D93360"/>
    <w:rsid w:val="00DA6F1E"/>
    <w:rsid w:val="00DB6BE1"/>
    <w:rsid w:val="00E22E74"/>
    <w:rsid w:val="00E25DAC"/>
    <w:rsid w:val="00E52672"/>
    <w:rsid w:val="00E67663"/>
    <w:rsid w:val="00E72EAC"/>
    <w:rsid w:val="00E76149"/>
    <w:rsid w:val="00EB0D8C"/>
    <w:rsid w:val="00EB7770"/>
    <w:rsid w:val="00EC01F9"/>
    <w:rsid w:val="00EC3182"/>
    <w:rsid w:val="00ED1A6A"/>
    <w:rsid w:val="00ED2E85"/>
    <w:rsid w:val="00ED6CA2"/>
    <w:rsid w:val="00F004A7"/>
    <w:rsid w:val="00F11862"/>
    <w:rsid w:val="00F568C5"/>
    <w:rsid w:val="00F7677D"/>
    <w:rsid w:val="00F8048B"/>
    <w:rsid w:val="00F94368"/>
    <w:rsid w:val="00FB564C"/>
    <w:rsid w:val="00FC5DC2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5CC0"/>
  <w15:docId w15:val="{C0478246-9929-41B2-9BCA-AA75978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66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1372E"/>
    <w:pPr>
      <w:keepNext/>
      <w:jc w:val="center"/>
      <w:outlineLvl w:val="2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1CD1"/>
    <w:pPr>
      <w:jc w:val="center"/>
    </w:pPr>
    <w:rPr>
      <w:b/>
      <w:sz w:val="36"/>
      <w:szCs w:val="20"/>
    </w:rPr>
  </w:style>
  <w:style w:type="paragraph" w:styleId="a5">
    <w:name w:val="Subtitle"/>
    <w:basedOn w:val="a"/>
    <w:qFormat/>
    <w:rsid w:val="00201CD1"/>
    <w:pPr>
      <w:jc w:val="center"/>
    </w:pPr>
    <w:rPr>
      <w:sz w:val="36"/>
      <w:szCs w:val="20"/>
      <w:lang w:val="uk-UA"/>
    </w:rPr>
  </w:style>
  <w:style w:type="character" w:customStyle="1" w:styleId="30">
    <w:name w:val="Заголовок 3 Знак"/>
    <w:link w:val="3"/>
    <w:rsid w:val="00444B6B"/>
    <w:rPr>
      <w:b/>
      <w:sz w:val="28"/>
      <w:lang w:val="uk-UA"/>
    </w:rPr>
  </w:style>
  <w:style w:type="paragraph" w:styleId="a6">
    <w:name w:val="header"/>
    <w:basedOn w:val="a"/>
    <w:link w:val="a7"/>
    <w:uiPriority w:val="99"/>
    <w:rsid w:val="00481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81D20"/>
    <w:rPr>
      <w:sz w:val="24"/>
      <w:szCs w:val="24"/>
    </w:rPr>
  </w:style>
  <w:style w:type="paragraph" w:styleId="a8">
    <w:name w:val="footer"/>
    <w:basedOn w:val="a"/>
    <w:link w:val="a9"/>
    <w:rsid w:val="00481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81D20"/>
    <w:rPr>
      <w:sz w:val="24"/>
      <w:szCs w:val="24"/>
    </w:rPr>
  </w:style>
  <w:style w:type="character" w:customStyle="1" w:styleId="a4">
    <w:name w:val="Заголовок Знак"/>
    <w:link w:val="a3"/>
    <w:rsid w:val="00017AE0"/>
    <w:rPr>
      <w:b/>
      <w:sz w:val="36"/>
      <w:lang w:eastAsia="ru-RU"/>
    </w:rPr>
  </w:style>
  <w:style w:type="table" w:styleId="aa">
    <w:name w:val="Table Grid"/>
    <w:basedOn w:val="a1"/>
    <w:rsid w:val="00BF77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D1A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D1A6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6175</Words>
  <Characters>3521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7</cp:revision>
  <cp:lastPrinted>2026-06-25T09:16:00Z</cp:lastPrinted>
  <dcterms:created xsi:type="dcterms:W3CDTF">2026-06-10T09:59:00Z</dcterms:created>
  <dcterms:modified xsi:type="dcterms:W3CDTF">2026-06-26T07:37:00Z</dcterms:modified>
</cp:coreProperties>
</file>