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C" w:rsidRPr="000F168C" w:rsidRDefault="000F168C" w:rsidP="000F168C">
      <w:pPr>
        <w:rPr>
          <w:b/>
        </w:rPr>
      </w:pPr>
      <w:bookmarkStart w:id="0" w:name="_Toc168921268"/>
    </w:p>
    <w:p w:rsidR="000F168C" w:rsidRPr="000F168C" w:rsidRDefault="000F168C" w:rsidP="000F168C">
      <w:pPr>
        <w:rPr>
          <w:b/>
        </w:rPr>
      </w:pPr>
      <w:r w:rsidRPr="000F168C">
        <w:rPr>
          <w:b/>
        </w:rPr>
        <w:t xml:space="preserve">Стратегічна ціль </w:t>
      </w:r>
      <w:bookmarkEnd w:id="0"/>
      <w:r>
        <w:rPr>
          <w:b/>
        </w:rPr>
        <w:t>____________________________________</w:t>
      </w:r>
    </w:p>
    <w:p w:rsidR="000F168C" w:rsidRPr="000F168C" w:rsidRDefault="000F168C" w:rsidP="000F168C">
      <w:pPr>
        <w:spacing w:after="160" w:line="259" w:lineRule="auto"/>
        <w:jc w:val="both"/>
        <w:rPr>
          <w:b/>
        </w:rPr>
      </w:pPr>
      <w:r w:rsidRPr="000F168C">
        <w:rPr>
          <w:b/>
        </w:rPr>
        <w:t xml:space="preserve">Оперативна ціль </w:t>
      </w:r>
      <w:r>
        <w:rPr>
          <w:b/>
        </w:rPr>
        <w:t>____________________________________</w:t>
      </w:r>
    </w:p>
    <w:p w:rsidR="000F168C" w:rsidRDefault="000F168C" w:rsidP="000F168C">
      <w:pPr>
        <w:jc w:val="center"/>
        <w:rPr>
          <w:b/>
          <w:color w:val="000000"/>
        </w:rPr>
      </w:pPr>
      <w:r w:rsidRPr="000F168C">
        <w:rPr>
          <w:b/>
          <w:color w:val="000000"/>
        </w:rPr>
        <w:t>Технічне завдання</w:t>
      </w:r>
      <w:r>
        <w:rPr>
          <w:b/>
          <w:color w:val="000000"/>
        </w:rPr>
        <w:t xml:space="preserve"> </w:t>
      </w:r>
    </w:p>
    <w:tbl>
      <w:tblPr>
        <w:tblW w:w="9685" w:type="dxa"/>
        <w:tblLayout w:type="fixed"/>
        <w:tblLook w:val="0600" w:firstRow="0" w:lastRow="0" w:firstColumn="0" w:lastColumn="0" w:noHBand="1" w:noVBand="1"/>
      </w:tblPr>
      <w:tblGrid>
        <w:gridCol w:w="3165"/>
        <w:gridCol w:w="1320"/>
        <w:gridCol w:w="1335"/>
        <w:gridCol w:w="1283"/>
        <w:gridCol w:w="1305"/>
        <w:gridCol w:w="1277"/>
      </w:tblGrid>
      <w:tr w:rsidR="000F168C" w:rsidTr="000F168C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F168C" w:rsidRPr="000F168C" w:rsidRDefault="000F168C" w:rsidP="00D536D2">
            <w:pPr>
              <w:spacing w:line="257" w:lineRule="auto"/>
              <w:ind w:left="-20" w:right="-20"/>
              <w:rPr>
                <w:b/>
                <w:color w:val="FFFFFF"/>
              </w:rPr>
            </w:pPr>
            <w:r w:rsidRPr="000F168C">
              <w:rPr>
                <w:b/>
              </w:rPr>
              <w:t xml:space="preserve">Назва </w:t>
            </w:r>
            <w:proofErr w:type="spellStart"/>
            <w:r w:rsidRPr="000F168C">
              <w:rPr>
                <w:b/>
              </w:rPr>
              <w:t>проєкту</w:t>
            </w:r>
            <w:proofErr w:type="spellEnd"/>
            <w:r w:rsidRPr="000F168C">
              <w:rPr>
                <w:b/>
              </w:rPr>
              <w:t>: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0F168C" w:rsidRPr="000F168C" w:rsidRDefault="000F168C" w:rsidP="00D536D2">
            <w:pPr>
              <w:spacing w:before="40" w:after="40"/>
              <w:rPr>
                <w:b/>
                <w:color w:val="FFFFFF"/>
              </w:rPr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і назва цілі/ завдання стратегії, якому відповідає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pBdr>
                <w:left w:val="single" w:sz="18" w:space="4" w:color="000000"/>
              </w:pBdr>
              <w:spacing w:before="40" w:after="40"/>
              <w:jc w:val="both"/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Мета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/>
              <w:jc w:val="both"/>
              <w:rPr>
                <w:color w:val="000000"/>
              </w:rPr>
            </w:pPr>
          </w:p>
        </w:tc>
      </w:tr>
      <w:tr w:rsidR="000F168C" w:rsidTr="00D536D2">
        <w:trPr>
          <w:trHeight w:val="54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Територія, на яку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  <w:r>
              <w:rPr>
                <w:b/>
                <w:color w:val="000000"/>
              </w:rPr>
              <w:t xml:space="preserve"> матиме вплив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  <w:jc w:val="both"/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Цільові групи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  <w:r>
              <w:rPr>
                <w:b/>
                <w:color w:val="000000"/>
              </w:rPr>
              <w:t xml:space="preserve"> та кінцеві отримувачі вигоди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/>
              <w:jc w:val="both"/>
              <w:rPr>
                <w:color w:val="000000"/>
              </w:rPr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Опис проблеми, на вирішення якої спрямовано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ind w:left="-23" w:right="-23"/>
              <w:jc w:val="both"/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Основні заходи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/>
              <w:jc w:val="both"/>
              <w:rPr>
                <w:color w:val="000000"/>
              </w:rPr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Індикатори (показники) результативності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/>
              <w:jc w:val="both"/>
              <w:rPr>
                <w:color w:val="000000"/>
              </w:rPr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Період реалізації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Орієнтовний обсяг фінансування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  <w:r>
              <w:rPr>
                <w:b/>
                <w:color w:val="000000"/>
              </w:rPr>
              <w:t xml:space="preserve">, тис. грн. 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  <w:rPr>
                <w:b/>
              </w:rPr>
            </w:pP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 тому числі: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BD1718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BD1718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20___</w:t>
            </w: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BD1718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BD1718">
              <w:rPr>
                <w:b/>
                <w:color w:val="000000"/>
              </w:rPr>
              <w:t>___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BD1718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BD1718">
              <w:rPr>
                <w:b/>
                <w:color w:val="000000"/>
              </w:rPr>
              <w:t>___</w:t>
            </w:r>
            <w:bookmarkStart w:id="1" w:name="_GoBack"/>
            <w:bookmarkEnd w:id="1"/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обласний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державний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i/>
                <w:color w:val="000000"/>
              </w:rPr>
            </w:pPr>
            <w:r>
              <w:rPr>
                <w:color w:val="000000"/>
              </w:rPr>
              <w:t>інші джерела</w:t>
            </w:r>
            <w:r>
              <w:rPr>
                <w:i/>
                <w:color w:val="000000"/>
              </w:rPr>
              <w:t xml:space="preserve"> (гранти, МТД, кошти інвесторів)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Відповідальний виконавець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BD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/>
              <w:jc w:val="both"/>
              <w:rPr>
                <w:color w:val="000000"/>
              </w:rPr>
            </w:pP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Інша інформація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both"/>
              <w:rPr>
                <w:color w:val="000000"/>
              </w:rPr>
            </w:pPr>
          </w:p>
        </w:tc>
      </w:tr>
    </w:tbl>
    <w:p w:rsidR="00823780" w:rsidRDefault="00823780"/>
    <w:p w:rsidR="000F168C" w:rsidRDefault="000F168C"/>
    <w:p w:rsidR="000F168C" w:rsidRPr="00BD1718" w:rsidRDefault="000F16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1718">
        <w:rPr>
          <w:rFonts w:ascii="Times New Roman" w:hAnsi="Times New Roman" w:cs="Times New Roman"/>
          <w:b/>
          <w:sz w:val="32"/>
          <w:szCs w:val="32"/>
          <w:u w:val="single"/>
        </w:rPr>
        <w:t>Зразок заповнення</w:t>
      </w:r>
    </w:p>
    <w:p w:rsidR="000F168C" w:rsidRDefault="000F168C"/>
    <w:p w:rsidR="000F168C" w:rsidRDefault="000F168C"/>
    <w:p w:rsidR="000F168C" w:rsidRDefault="000F168C" w:rsidP="000F168C">
      <w:pPr>
        <w:pStyle w:val="1"/>
      </w:pPr>
      <w:r>
        <w:t>Стратегічна ціль 1. Розвиток економічного потенціалу громади</w:t>
      </w:r>
    </w:p>
    <w:p w:rsidR="000F168C" w:rsidRDefault="000F168C" w:rsidP="000F168C">
      <w:pPr>
        <w:spacing w:after="160" w:line="259" w:lineRule="auto"/>
        <w:jc w:val="both"/>
        <w:rPr>
          <w:b/>
          <w:color w:val="0067B9"/>
        </w:rPr>
      </w:pPr>
      <w:r>
        <w:rPr>
          <w:b/>
          <w:color w:val="0067B9"/>
        </w:rPr>
        <w:t>Оперативна ціль 1.1. Підтримка ділової активності та середовища самореалізації</w:t>
      </w:r>
    </w:p>
    <w:p w:rsidR="000F168C" w:rsidRDefault="000F168C" w:rsidP="000F168C">
      <w:pPr>
        <w:jc w:val="center"/>
        <w:rPr>
          <w:b/>
          <w:color w:val="000000"/>
        </w:rPr>
      </w:pPr>
      <w:r>
        <w:rPr>
          <w:b/>
          <w:color w:val="000000"/>
        </w:rPr>
        <w:t>Технічне завдання №1</w:t>
      </w:r>
    </w:p>
    <w:tbl>
      <w:tblPr>
        <w:tblW w:w="9685" w:type="dxa"/>
        <w:tblLayout w:type="fixed"/>
        <w:tblLook w:val="0600" w:firstRow="0" w:lastRow="0" w:firstColumn="0" w:lastColumn="0" w:noHBand="1" w:noVBand="1"/>
      </w:tblPr>
      <w:tblGrid>
        <w:gridCol w:w="3165"/>
        <w:gridCol w:w="1320"/>
        <w:gridCol w:w="1335"/>
        <w:gridCol w:w="1283"/>
        <w:gridCol w:w="1305"/>
        <w:gridCol w:w="1277"/>
      </w:tblGrid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Назва </w:t>
            </w:r>
            <w:proofErr w:type="spellStart"/>
            <w:r>
              <w:rPr>
                <w:b/>
                <w:color w:val="FFFFFF"/>
              </w:rPr>
              <w:t>проєкту</w:t>
            </w:r>
            <w:proofErr w:type="spellEnd"/>
            <w:r>
              <w:rPr>
                <w:b/>
                <w:color w:val="FFFFFF"/>
              </w:rPr>
              <w:t>: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Створення офісу місцевого розвитку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і назва цілі/ завдання стратегії, якому відповідає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pBdr>
                <w:left w:val="single" w:sz="18" w:space="4" w:color="000000"/>
              </w:pBdr>
              <w:spacing w:before="40" w:after="40"/>
              <w:jc w:val="both"/>
            </w:pPr>
            <w:r>
              <w:t>1.1.1. Розвиток публічних просторів для громадської та ділової активності</w:t>
            </w:r>
          </w:p>
          <w:p w:rsidR="000F168C" w:rsidRDefault="000F168C" w:rsidP="00D536D2">
            <w:pPr>
              <w:pBdr>
                <w:left w:val="single" w:sz="18" w:space="4" w:color="000000"/>
              </w:pBdr>
              <w:spacing w:before="40" w:after="40"/>
              <w:jc w:val="both"/>
            </w:pPr>
            <w:r>
              <w:t xml:space="preserve">2.3.1. Підтримка громадянської активності, </w:t>
            </w:r>
            <w:proofErr w:type="spellStart"/>
            <w:r>
              <w:t>залученості</w:t>
            </w:r>
            <w:proofErr w:type="spellEnd"/>
            <w:r>
              <w:t xml:space="preserve"> і співпричетності д</w:t>
            </w:r>
            <w:r>
              <w:rPr>
                <w:color w:val="000000"/>
              </w:rPr>
              <w:t xml:space="preserve">о </w:t>
            </w:r>
            <w:r>
              <w:t xml:space="preserve">життя громади, в </w:t>
            </w:r>
            <w:proofErr w:type="spellStart"/>
            <w:r>
              <w:t>т.ч</w:t>
            </w:r>
            <w:proofErr w:type="spellEnd"/>
            <w:r>
              <w:t>. через механізми спільного вирішення локальних проблем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Мета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створити публічний простір для ефективних комунікацій «бізнес-влада-громадськість»</w:t>
            </w:r>
          </w:p>
          <w:p w:rsidR="000F168C" w:rsidRDefault="000F168C" w:rsidP="000F16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сформувати партнерство для розробки </w:t>
            </w:r>
            <w:proofErr w:type="spellStart"/>
            <w:r>
              <w:rPr>
                <w:color w:val="000000"/>
              </w:rPr>
              <w:t>проєктних</w:t>
            </w:r>
            <w:proofErr w:type="spellEnd"/>
            <w:r>
              <w:rPr>
                <w:color w:val="000000"/>
              </w:rPr>
              <w:t xml:space="preserve"> заявок, публічного обговорення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 xml:space="preserve"> рішень, спілкування з депутатським корпусом</w:t>
            </w:r>
          </w:p>
        </w:tc>
      </w:tr>
      <w:tr w:rsidR="000F168C" w:rsidTr="00D536D2">
        <w:trPr>
          <w:trHeight w:val="54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Територія, на яку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  <w:r>
              <w:rPr>
                <w:b/>
                <w:color w:val="000000"/>
              </w:rPr>
              <w:t xml:space="preserve"> матиме вплив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  <w:jc w:val="both"/>
            </w:pPr>
            <w:r>
              <w:t>Здолбунівська міська територіальна громада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Цільові групи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  <w:r>
              <w:rPr>
                <w:b/>
                <w:color w:val="000000"/>
              </w:rPr>
              <w:t xml:space="preserve"> та кінцеві отримувачі вигоди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ind w:left="-23" w:right="-23"/>
              <w:jc w:val="both"/>
            </w:pPr>
            <w:r>
              <w:t xml:space="preserve">Цільові групи </w:t>
            </w:r>
            <w:proofErr w:type="spellStart"/>
            <w:r>
              <w:t>проєкту</w:t>
            </w:r>
            <w:proofErr w:type="spellEnd"/>
            <w:r>
              <w:t xml:space="preserve">: громадські організації громади, представники міської ради в </w:t>
            </w:r>
            <w:proofErr w:type="spellStart"/>
            <w:r>
              <w:t>т.ч</w:t>
            </w:r>
            <w:proofErr w:type="spellEnd"/>
            <w:r>
              <w:t>. старостати, депутатський корпус, представники бізнесу та активні громадяни.</w:t>
            </w:r>
          </w:p>
          <w:p w:rsidR="000F168C" w:rsidRDefault="000F168C" w:rsidP="00D536D2">
            <w:pPr>
              <w:ind w:left="-23" w:right="-23"/>
              <w:jc w:val="both"/>
            </w:pPr>
            <w:r>
              <w:t xml:space="preserve">Орієнтовна кількість </w:t>
            </w:r>
            <w:proofErr w:type="spellStart"/>
            <w:r>
              <w:t>вигодонабувачів</w:t>
            </w:r>
            <w:proofErr w:type="spellEnd"/>
            <w:r>
              <w:t xml:space="preserve"> 1500 осіб,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члени більше 50 громадських організацій громади - 300 осіб;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депутатський корпус ради - 26 осіб;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представники бізнес-спільноти громади (ФОП, </w:t>
            </w:r>
            <w:proofErr w:type="spellStart"/>
            <w:r>
              <w:rPr>
                <w:color w:val="000000"/>
              </w:rPr>
              <w:t>агро</w:t>
            </w:r>
            <w:proofErr w:type="spellEnd"/>
            <w:r>
              <w:rPr>
                <w:color w:val="000000"/>
              </w:rPr>
              <w:t xml:space="preserve">- та промислових підприємств, представники сфери </w:t>
            </w:r>
            <w:proofErr w:type="spellStart"/>
            <w:r>
              <w:rPr>
                <w:color w:val="000000"/>
              </w:rPr>
              <w:t>фрілансу</w:t>
            </w:r>
            <w:proofErr w:type="spellEnd"/>
            <w:r>
              <w:rPr>
                <w:color w:val="000000"/>
              </w:rPr>
              <w:t xml:space="preserve"> та ін.) - 1000 осіб;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комбатанти, люди пенсійного віку - 150 осіб.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Опис проблеми, на вирішення якої спрямовано </w:t>
            </w:r>
            <w:proofErr w:type="spellStart"/>
            <w:r>
              <w:rPr>
                <w:b/>
                <w:color w:val="000000"/>
              </w:rPr>
              <w:t>проєкт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ind w:left="-23" w:right="-23"/>
              <w:jc w:val="both"/>
            </w:pPr>
            <w:r>
              <w:t>В Здолбунівській громаді бракує публічних просторів для ефективної комунікації в площині «бізнес-влада-громадськість». В той же час, є досвід створення майданчиків для формування ефективних механізмів публічної взаємодії, наприклад: створення молодіжного простору «</w:t>
            </w:r>
            <w:proofErr w:type="spellStart"/>
            <w:r>
              <w:t>Хом’Як</w:t>
            </w:r>
            <w:proofErr w:type="spellEnd"/>
            <w:r>
              <w:t>», який став осередком гуртування молодіжних ініціатив, розробки молодіжної політики та ін.</w:t>
            </w:r>
          </w:p>
          <w:p w:rsidR="000F168C" w:rsidRDefault="000F168C" w:rsidP="00D536D2">
            <w:pPr>
              <w:ind w:left="-23" w:right="-23"/>
              <w:jc w:val="both"/>
            </w:pPr>
            <w:proofErr w:type="spellStart"/>
            <w:r>
              <w:t>Проєктом</w:t>
            </w:r>
            <w:proofErr w:type="spellEnd"/>
            <w:r>
              <w:t xml:space="preserve"> передбачається розширити цей досвід і створити в приміщенні колишнього </w:t>
            </w:r>
            <w:proofErr w:type="spellStart"/>
            <w:r>
              <w:t>ЦНАПу</w:t>
            </w:r>
            <w:proofErr w:type="spellEnd"/>
            <w:r>
              <w:t xml:space="preserve"> (вул. Незалежності, 36), громадський простір (офіс теплих контактів) для об’єднання </w:t>
            </w:r>
            <w:proofErr w:type="spellStart"/>
            <w:r>
              <w:t>розвиткових</w:t>
            </w:r>
            <w:proofErr w:type="spellEnd"/>
            <w:r>
              <w:t xml:space="preserve"> ініціатив громади під брендом «Офіс місцевого розвитку» (точна назва, ще потребуватиме обговорення в громаді з метою кращої його промоції).</w:t>
            </w:r>
          </w:p>
          <w:p w:rsidR="000F168C" w:rsidRDefault="000F168C" w:rsidP="00D536D2">
            <w:pPr>
              <w:ind w:left="-23" w:right="-23"/>
              <w:jc w:val="both"/>
            </w:pPr>
            <w:r>
              <w:t xml:space="preserve">Громадський простір включатиме 3 кімнати: тренінгову залу, </w:t>
            </w:r>
            <w:proofErr w:type="spellStart"/>
            <w:r>
              <w:t>коворкінг</w:t>
            </w:r>
            <w:proofErr w:type="spellEnd"/>
            <w:r>
              <w:t xml:space="preserve"> (офісне приміщення відкритого типу) та </w:t>
            </w:r>
            <w:proofErr w:type="spellStart"/>
            <w:r>
              <w:t>переговорно</w:t>
            </w:r>
            <w:proofErr w:type="spellEnd"/>
            <w:r>
              <w:t>-консультаційну кімнату.</w:t>
            </w:r>
          </w:p>
          <w:p w:rsidR="000F168C" w:rsidRDefault="000F168C" w:rsidP="00D536D2">
            <w:pPr>
              <w:ind w:left="-23" w:right="-23"/>
              <w:jc w:val="both"/>
            </w:pPr>
            <w:r>
              <w:t>Передбачається, що основними програмними напрямами офісу місцевого розвитку будуть: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  <w:r>
              <w:rPr>
                <w:color w:val="000000"/>
              </w:rPr>
              <w:t xml:space="preserve"> робота;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формування інструментів громадської, політичної та бізнесової взаємодії, участі в житті громади;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публічної комунікації – місце різних форм публічних комунікацій місцевої влади з громадою;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освітній центр для дорослих.</w:t>
            </w:r>
          </w:p>
          <w:p w:rsidR="000F168C" w:rsidRDefault="000F168C" w:rsidP="00D536D2">
            <w:pPr>
              <w:ind w:left="-23" w:right="-23"/>
              <w:jc w:val="both"/>
            </w:pPr>
            <w:r>
              <w:t>Відповідно до підготовленого і затвердженого регламенту (правил роботи офісу) його послуги будуть безкоштовними або частково платними, в залежності від виду подій та цільових груп, що ним користуватимуться.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Основні заходи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Проведення ремонтних робіт відокремленого приміщення площею 130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(колишній ЦНАП,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м.Здолбунів</w:t>
            </w:r>
            <w:proofErr w:type="spellEnd"/>
            <w:r>
              <w:rPr>
                <w:color w:val="000000"/>
              </w:rPr>
              <w:t>, вул. Незалежності, 36) та опорядження трьох кімнат:</w:t>
            </w:r>
          </w:p>
          <w:p w:rsidR="000F168C" w:rsidRDefault="000F168C" w:rsidP="00D5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-23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тренінгова зала</w:t>
            </w:r>
            <w:r>
              <w:rPr>
                <w:color w:val="000000"/>
              </w:rPr>
              <w:t xml:space="preserve"> - простора кімната для проведення заходів на 20 осіб облаштована мультимедійним обладнанням та меблями;</w:t>
            </w:r>
          </w:p>
          <w:p w:rsidR="000F168C" w:rsidRDefault="000F168C" w:rsidP="00D5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-23"/>
              <w:jc w:val="both"/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коворкінг</w:t>
            </w:r>
            <w:proofErr w:type="spellEnd"/>
            <w:r>
              <w:rPr>
                <w:color w:val="000000"/>
              </w:rPr>
              <w:t xml:space="preserve"> – робочий офіс на 8 посадочних місць за принципом відкритого простору. Для представників бізнесу, ГО, які потребують робочого місця на короткий проміжок часу;</w:t>
            </w:r>
          </w:p>
          <w:p w:rsidR="000F168C" w:rsidRDefault="000F168C" w:rsidP="00D5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-23"/>
              <w:jc w:val="both"/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lastRenderedPageBreak/>
              <w:t>переговорно</w:t>
            </w:r>
            <w:proofErr w:type="spellEnd"/>
            <w:r>
              <w:rPr>
                <w:i/>
                <w:color w:val="000000"/>
              </w:rPr>
              <w:t>-консультаційна кімната</w:t>
            </w:r>
            <w:r>
              <w:rPr>
                <w:color w:val="000000"/>
              </w:rPr>
              <w:t xml:space="preserve"> - простір для зустрічей депутатів, представників ОМС з мешканцями громади, зустрічей бізнесу і </w:t>
            </w:r>
            <w:proofErr w:type="spellStart"/>
            <w:r>
              <w:rPr>
                <w:color w:val="000000"/>
              </w:rPr>
              <w:t>т.п</w:t>
            </w:r>
            <w:proofErr w:type="spellEnd"/>
            <w:r>
              <w:rPr>
                <w:color w:val="000000"/>
              </w:rPr>
              <w:t>..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Проведення закупівлі обладнання та меблів для оснащення 8 столів офісної роботи (кімната </w:t>
            </w:r>
            <w:proofErr w:type="spellStart"/>
            <w:r>
              <w:rPr>
                <w:color w:val="000000"/>
              </w:rPr>
              <w:t>коворкінгу</w:t>
            </w:r>
            <w:proofErr w:type="spellEnd"/>
            <w:r>
              <w:rPr>
                <w:color w:val="000000"/>
              </w:rPr>
              <w:t xml:space="preserve">), 25 стільців, мультимедійного обладнання, </w:t>
            </w:r>
            <w:proofErr w:type="spellStart"/>
            <w:r>
              <w:rPr>
                <w:color w:val="000000"/>
              </w:rPr>
              <w:t>фліпчартів</w:t>
            </w:r>
            <w:proofErr w:type="spellEnd"/>
            <w:r>
              <w:rPr>
                <w:color w:val="000000"/>
              </w:rPr>
              <w:t xml:space="preserve"> та ін. (тренінгова зала), меблевого та мультимедійного комплекту (</w:t>
            </w:r>
            <w:proofErr w:type="spellStart"/>
            <w:r>
              <w:rPr>
                <w:color w:val="000000"/>
              </w:rPr>
              <w:t>переговорно</w:t>
            </w:r>
            <w:proofErr w:type="spellEnd"/>
            <w:r>
              <w:rPr>
                <w:color w:val="000000"/>
              </w:rPr>
              <w:t>-консультаційна кімната);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Презентація офісу для мешканців громади та цільовим групам;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Започаткування програмної діяльності офісу (розробка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 xml:space="preserve">; </w:t>
            </w:r>
            <w:r w:rsidRPr="0008694E">
              <w:rPr>
                <w:color w:val="000000"/>
                <w:shd w:val="clear" w:color="auto" w:fill="FFFFFF" w:themeFill="background1"/>
              </w:rPr>
              <w:t>робота з інструментами участі громадян</w:t>
            </w:r>
            <w:r w:rsidRPr="003B7629">
              <w:rPr>
                <w:color w:val="000000"/>
              </w:rPr>
              <w:t>; центр</w:t>
            </w:r>
            <w:r>
              <w:rPr>
                <w:color w:val="000000"/>
              </w:rPr>
              <w:t xml:space="preserve"> публічної комунікації; освітній центр для дорослих, в тому числі і вразливих категорій населення; підтримка громадських організацій та ініціативних груп).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Індикатори (показники) результативності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Проведено ремонт відокремленого приміщення у </w:t>
            </w:r>
            <w:r w:rsidRPr="0008694E">
              <w:rPr>
                <w:color w:val="000000"/>
                <w:shd w:val="clear" w:color="auto" w:fill="FFFFFF" w:themeFill="background1"/>
              </w:rPr>
              <w:t>складі</w:t>
            </w:r>
            <w:r>
              <w:rPr>
                <w:color w:val="000000"/>
              </w:rPr>
              <w:t xml:space="preserve"> трьох кімнат загальною площею 130 </w:t>
            </w:r>
            <w:proofErr w:type="spellStart"/>
            <w:r>
              <w:rPr>
                <w:color w:val="000000"/>
              </w:rPr>
              <w:t>м.кв</w:t>
            </w:r>
            <w:proofErr w:type="spellEnd"/>
            <w:r>
              <w:rPr>
                <w:color w:val="000000"/>
              </w:rPr>
              <w:t xml:space="preserve">.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по вул. Незалежності, 36 (колишнє приміщення </w:t>
            </w:r>
            <w:proofErr w:type="spellStart"/>
            <w:r>
              <w:rPr>
                <w:color w:val="000000"/>
              </w:rPr>
              <w:t>ЦНАПу</w:t>
            </w:r>
            <w:proofErr w:type="spellEnd"/>
            <w:r>
              <w:rPr>
                <w:color w:val="000000"/>
              </w:rPr>
              <w:t>);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Обладнано меблями, офісною та ін. технікою три кімнати (тренінгова зала, </w:t>
            </w:r>
            <w:proofErr w:type="spellStart"/>
            <w:r>
              <w:rPr>
                <w:color w:val="000000"/>
              </w:rPr>
              <w:t>коворкінг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переговорно</w:t>
            </w:r>
            <w:proofErr w:type="spellEnd"/>
            <w:r>
              <w:rPr>
                <w:color w:val="000000"/>
              </w:rPr>
              <w:t>-консультаційна кімната);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Розроблено Положення про «Офіс місцевого розвитку», який містить правила роботи, вимоги до підтримуваних ініціатив, умов перебування та </w:t>
            </w:r>
            <w:proofErr w:type="spellStart"/>
            <w:r>
              <w:rPr>
                <w:color w:val="000000"/>
              </w:rPr>
              <w:t>ін</w:t>
            </w:r>
            <w:proofErr w:type="spellEnd"/>
            <w:r>
              <w:rPr>
                <w:color w:val="000000"/>
              </w:rPr>
              <w:t>;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«Офіс місцевого розвитку» розпочав свою діяльність.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Період реалізації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</w:pPr>
            <w:r>
              <w:t>2024-2027 роки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Орієнтовний обсяг фінансування </w:t>
            </w:r>
            <w:proofErr w:type="spellStart"/>
            <w:r>
              <w:rPr>
                <w:b/>
                <w:color w:val="000000"/>
              </w:rPr>
              <w:t>проєкту</w:t>
            </w:r>
            <w:proofErr w:type="spellEnd"/>
            <w:r>
              <w:rPr>
                <w:b/>
                <w:color w:val="000000"/>
              </w:rPr>
              <w:t xml:space="preserve">, тис. грн. 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:rsidR="000F168C" w:rsidRDefault="000F168C" w:rsidP="00D536D2">
            <w:pPr>
              <w:spacing w:before="40" w:after="40" w:line="257" w:lineRule="auto"/>
              <w:ind w:left="-20" w:right="-20"/>
              <w:rPr>
                <w:b/>
              </w:rPr>
            </w:pPr>
            <w:r>
              <w:rPr>
                <w:b/>
              </w:rPr>
              <w:t>4000,0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 тому числі: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1000,0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1000,0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1000,0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4000,0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обласний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color w:val="000000"/>
              </w:rPr>
            </w:pPr>
            <w:r>
              <w:rPr>
                <w:color w:val="000000"/>
              </w:rPr>
              <w:t>державний бюджет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18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ind w:left="-20" w:right="-20" w:hanging="142"/>
              <w:rPr>
                <w:i/>
                <w:color w:val="000000"/>
              </w:rPr>
            </w:pPr>
            <w:r>
              <w:rPr>
                <w:color w:val="000000"/>
              </w:rPr>
              <w:t>інші джерела</w:t>
            </w:r>
            <w:r>
              <w:rPr>
                <w:i/>
                <w:color w:val="000000"/>
              </w:rPr>
              <w:t xml:space="preserve"> (гранти, МТД, кошти інвесторів)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Відповідальний виконавець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відділ </w:t>
            </w:r>
            <w:proofErr w:type="spellStart"/>
            <w:r>
              <w:rPr>
                <w:color w:val="000000"/>
              </w:rPr>
              <w:t>проєктної</w:t>
            </w:r>
            <w:proofErr w:type="spellEnd"/>
            <w:r>
              <w:rPr>
                <w:color w:val="000000"/>
              </w:rPr>
              <w:t xml:space="preserve"> діяльності, розвитку та міжнародного співробітництва Здолбунівської міської ради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відділ економічного розвитку та регуляторної політики Здолбунівської міської ради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КП «Здолбунівське»</w:t>
            </w:r>
          </w:p>
          <w:p w:rsidR="000F168C" w:rsidRDefault="000F168C" w:rsidP="000F16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8" w:right="-2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ГО ЗЕОН</w:t>
            </w:r>
          </w:p>
        </w:tc>
      </w:tr>
      <w:tr w:rsidR="000F168C" w:rsidTr="00D536D2">
        <w:trPr>
          <w:trHeight w:val="30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Інша інформація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F168C" w:rsidRDefault="000F168C" w:rsidP="00D536D2">
            <w:pPr>
              <w:spacing w:line="257" w:lineRule="auto"/>
              <w:ind w:left="-20" w:right="-20"/>
              <w:jc w:val="both"/>
              <w:rPr>
                <w:color w:val="000000"/>
              </w:rPr>
            </w:pPr>
          </w:p>
        </w:tc>
      </w:tr>
    </w:tbl>
    <w:p w:rsidR="000F168C" w:rsidRDefault="000F168C"/>
    <w:sectPr w:rsidR="000F168C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40" w:rsidRDefault="00275140" w:rsidP="000F168C">
      <w:r>
        <w:separator/>
      </w:r>
    </w:p>
  </w:endnote>
  <w:endnote w:type="continuationSeparator" w:id="0">
    <w:p w:rsidR="00275140" w:rsidRDefault="00275140" w:rsidP="000F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40" w:rsidRDefault="00275140" w:rsidP="000F168C">
      <w:r>
        <w:separator/>
      </w:r>
    </w:p>
  </w:footnote>
  <w:footnote w:type="continuationSeparator" w:id="0">
    <w:p w:rsidR="00275140" w:rsidRDefault="00275140" w:rsidP="000F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8C" w:rsidRDefault="000F168C" w:rsidP="000F168C">
    <w:pPr>
      <w:pStyle w:val="a3"/>
      <w:ind w:left="7080"/>
    </w:pPr>
    <w:r>
      <w:t>Додаток 4</w:t>
    </w:r>
  </w:p>
  <w:p w:rsidR="000F168C" w:rsidRDefault="000F16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63D"/>
    <w:multiLevelType w:val="multilevel"/>
    <w:tmpl w:val="72DCF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0648F0"/>
    <w:multiLevelType w:val="multilevel"/>
    <w:tmpl w:val="BC000228"/>
    <w:lvl w:ilvl="0">
      <w:start w:val="1"/>
      <w:numFmt w:val="bullet"/>
      <w:lvlText w:val="●"/>
      <w:lvlJc w:val="left"/>
      <w:pPr>
        <w:ind w:left="2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3AC721DD"/>
    <w:multiLevelType w:val="multilevel"/>
    <w:tmpl w:val="90E6319C"/>
    <w:lvl w:ilvl="0">
      <w:start w:val="1"/>
      <w:numFmt w:val="bullet"/>
      <w:lvlText w:val="●"/>
      <w:lvlJc w:val="left"/>
      <w:pPr>
        <w:ind w:left="6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C"/>
    <w:rsid w:val="000F168C"/>
    <w:rsid w:val="00275140"/>
    <w:rsid w:val="00823780"/>
    <w:rsid w:val="00B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E115"/>
  <w15:chartTrackingRefBased/>
  <w15:docId w15:val="{680BC449-C3EF-4BA8-92ED-703C6211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8C"/>
    <w:pPr>
      <w:spacing w:after="0" w:line="240" w:lineRule="auto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F168C"/>
    <w:pPr>
      <w:shd w:val="clear" w:color="auto" w:fill="002F6C"/>
      <w:tabs>
        <w:tab w:val="left" w:pos="284"/>
      </w:tabs>
      <w:outlineLvl w:val="0"/>
    </w:pPr>
    <w:rPr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8C"/>
    <w:rPr>
      <w:rFonts w:ascii="Arial" w:eastAsia="Arial" w:hAnsi="Arial" w:cs="Arial"/>
      <w:b/>
      <w:color w:val="FFFFFF"/>
      <w:shd w:val="clear" w:color="auto" w:fill="002F6C"/>
      <w:lang w:eastAsia="uk-UA"/>
    </w:rPr>
  </w:style>
  <w:style w:type="paragraph" w:styleId="a3">
    <w:name w:val="header"/>
    <w:basedOn w:val="a"/>
    <w:link w:val="a4"/>
    <w:uiPriority w:val="99"/>
    <w:unhideWhenUsed/>
    <w:rsid w:val="000F16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68C"/>
    <w:rPr>
      <w:rFonts w:ascii="Arial" w:eastAsia="Arial" w:hAnsi="Arial" w:cs="Arial"/>
      <w:lang w:eastAsia="uk-UA"/>
    </w:rPr>
  </w:style>
  <w:style w:type="paragraph" w:styleId="a5">
    <w:name w:val="footer"/>
    <w:basedOn w:val="a"/>
    <w:link w:val="a6"/>
    <w:uiPriority w:val="99"/>
    <w:unhideWhenUsed/>
    <w:rsid w:val="000F168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168C"/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3687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2</cp:revision>
  <dcterms:created xsi:type="dcterms:W3CDTF">2026-05-28T08:02:00Z</dcterms:created>
  <dcterms:modified xsi:type="dcterms:W3CDTF">2026-05-28T08:11:00Z</dcterms:modified>
</cp:coreProperties>
</file>