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52CD4" w14:textId="77777777" w:rsidR="003A7912" w:rsidRDefault="003A7912" w:rsidP="003A7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27D5ECC7" w14:textId="7E20E20C" w:rsidR="003A7912" w:rsidRPr="003A7912" w:rsidRDefault="003A7912" w:rsidP="003A7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sz w:val="36"/>
          <w:szCs w:val="36"/>
          <w:lang w:val="uk-UA"/>
        </w:rPr>
        <w:t>Проєкт</w:t>
      </w:r>
    </w:p>
    <w:p w14:paraId="00000003" w14:textId="77777777" w:rsidR="00581F5A" w:rsidRDefault="003A7912">
      <w:pPr>
        <w:spacing w:after="0"/>
        <w:ind w:firstLine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>
            <wp:extent cx="431800" cy="600075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4" w14:textId="77777777" w:rsidR="00581F5A" w:rsidRDefault="003A7912">
      <w:pPr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14:paraId="00000005" w14:textId="0F7B885E" w:rsidR="00581F5A" w:rsidRDefault="003A7912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РІВНЕНСЬКОГО РАЙОНУ РІВНЕНСЬКОЇ </w:t>
      </w: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ОБЛАСТІ</w:t>
      </w:r>
    </w:p>
    <w:p w14:paraId="00000006" w14:textId="77777777" w:rsidR="00581F5A" w:rsidRDefault="003A7912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14:paraId="00000007" w14:textId="77777777" w:rsidR="00581F5A" w:rsidRDefault="00581F5A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8" w14:textId="77777777" w:rsidR="00581F5A" w:rsidRDefault="003A7912">
      <w:pPr>
        <w:keepNext/>
        <w:tabs>
          <w:tab w:val="center" w:pos="4677"/>
        </w:tabs>
        <w:spacing w:after="0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Р І Ш Е Н Н Я</w:t>
      </w:r>
    </w:p>
    <w:p w14:paraId="0000000A" w14:textId="112B47BB" w:rsidR="00581F5A" w:rsidRDefault="00581F5A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77777777" w:rsidR="00581F5A" w:rsidRDefault="003A7912">
      <w:pPr>
        <w:keepNext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28 серпня 2026 року                                                                                  № ____</w:t>
      </w:r>
    </w:p>
    <w:p w14:paraId="0000000C" w14:textId="77777777" w:rsidR="00581F5A" w:rsidRDefault="00581F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D" w14:textId="77777777" w:rsidR="00581F5A" w:rsidRDefault="003A7912">
      <w:pPr>
        <w:shd w:val="clear" w:color="auto" w:fill="FFFFFF"/>
        <w:spacing w:after="0" w:line="240" w:lineRule="auto"/>
        <w:ind w:left="1" w:right="4676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затвердження середньострокового плану пріоритетних публічних інвестицій Здолбунівської міської територіальної  громади на  2027-2029 роки</w:t>
      </w:r>
    </w:p>
    <w:p w14:paraId="0000000E" w14:textId="77777777" w:rsidR="00581F5A" w:rsidRDefault="003A7912">
      <w:pPr>
        <w:spacing w:before="280" w:after="28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частини третьої статті 75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Бюджетного кодексу України, Закону України  «Про  місцеве  самоврядування  в  Україні»,  враховуючи протокол  засідання  міської інвестиційної ради від 29.07.2026 № 1 щодо розгляду та схвалення середньострокового пл</w:t>
      </w:r>
      <w:r>
        <w:rPr>
          <w:rFonts w:ascii="Times New Roman" w:eastAsia="Times New Roman" w:hAnsi="Times New Roman" w:cs="Times New Roman"/>
          <w:sz w:val="28"/>
          <w:szCs w:val="28"/>
        </w:rPr>
        <w:t>ану пріоритетних публічних інвестицій Здолбунівської міської територіальної громади на 2027-2029 роки,  виконавчий  комітет Здолбунівської міської ради</w:t>
      </w:r>
    </w:p>
    <w:p w14:paraId="0000000F" w14:textId="77777777" w:rsidR="00581F5A" w:rsidRDefault="003A7912">
      <w:pPr>
        <w:shd w:val="clear" w:color="auto" w:fill="FFFFFF"/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14:paraId="00000010" w14:textId="77777777" w:rsidR="00581F5A" w:rsidRDefault="00581F5A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7777777" w:rsidR="00581F5A" w:rsidRDefault="003A791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Затвердити  середньостроковий  план  пріоритетних  публічних інвестицій Здолбунівсько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ї міської територіальної громади на 2027-2029 роки, що додається. </w:t>
      </w:r>
    </w:p>
    <w:p w14:paraId="00000012" w14:textId="77777777" w:rsidR="00581F5A" w:rsidRDefault="003A79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 Капітулу В.В.</w:t>
      </w:r>
    </w:p>
    <w:p w14:paraId="00000013" w14:textId="77777777" w:rsidR="00581F5A" w:rsidRDefault="00581F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4" w14:textId="77777777" w:rsidR="00581F5A" w:rsidRDefault="00581F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5" w14:textId="77777777" w:rsidR="00581F5A" w:rsidRDefault="00581F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6" w14:textId="77777777" w:rsidR="00581F5A" w:rsidRDefault="003A7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                                                                          Владислав СУХЛЯК</w:t>
      </w:r>
    </w:p>
    <w:p w14:paraId="00000017" w14:textId="77777777" w:rsidR="00581F5A" w:rsidRDefault="003A7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18" w14:textId="77777777" w:rsidR="00581F5A" w:rsidRDefault="00581F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9" w14:textId="77777777" w:rsidR="00581F5A" w:rsidRDefault="00581F5A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A" w14:textId="77777777" w:rsidR="00581F5A" w:rsidRDefault="00581F5A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B" w14:textId="77777777" w:rsidR="00581F5A" w:rsidRDefault="00581F5A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C" w14:textId="77777777" w:rsidR="00581F5A" w:rsidRDefault="00581F5A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D" w14:textId="77777777" w:rsidR="00581F5A" w:rsidRDefault="00581F5A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E" w14:textId="77777777" w:rsidR="00581F5A" w:rsidRDefault="00581F5A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F" w14:textId="77777777" w:rsidR="00581F5A" w:rsidRDefault="00581F5A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53" w14:textId="446B92A5" w:rsidR="00581F5A" w:rsidRDefault="00581F5A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6DE5A93E" w14:textId="77777777" w:rsidR="003A7912" w:rsidRDefault="003A7912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00000054" w14:textId="77777777" w:rsidR="00581F5A" w:rsidRDefault="003A7912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14:paraId="00000055" w14:textId="77777777" w:rsidR="00581F5A" w:rsidRDefault="003A7912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</w:t>
      </w:r>
    </w:p>
    <w:p w14:paraId="00000056" w14:textId="77777777" w:rsidR="00581F5A" w:rsidRDefault="003A7912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Здолбунівської міської ради </w:t>
      </w:r>
    </w:p>
    <w:p w14:paraId="00000057" w14:textId="77777777" w:rsidR="00581F5A" w:rsidRDefault="003A7912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28.08.2026 № _____</w:t>
      </w:r>
    </w:p>
    <w:p w14:paraId="00000058" w14:textId="77777777" w:rsidR="00581F5A" w:rsidRDefault="00581F5A">
      <w:pPr>
        <w:spacing w:after="0" w:line="259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59" w14:textId="77777777" w:rsidR="00581F5A" w:rsidRDefault="003A7912">
      <w:pPr>
        <w:spacing w:after="0" w:line="259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Середньостроковий план пріоритетних публічних</w:t>
      </w:r>
    </w:p>
    <w:p w14:paraId="0000005A" w14:textId="77777777" w:rsidR="00581F5A" w:rsidRDefault="003A7912">
      <w:pPr>
        <w:spacing w:after="0" w:line="259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інвестицій Здолбунівської міської територіальної</w:t>
      </w:r>
    </w:p>
    <w:p w14:paraId="0000005B" w14:textId="77777777" w:rsidR="00581F5A" w:rsidRDefault="003A7912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громади на 2027 - 2029 роки</w:t>
      </w:r>
    </w:p>
    <w:p w14:paraId="0000005C" w14:textId="77777777" w:rsidR="00581F5A" w:rsidRDefault="00581F5A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0000005D" w14:textId="77777777" w:rsidR="00581F5A" w:rsidRDefault="003A7912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Загальна частина</w:t>
      </w:r>
    </w:p>
    <w:p w14:paraId="0000005E" w14:textId="77777777" w:rsidR="00581F5A" w:rsidRDefault="00581F5A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5F" w14:textId="77777777" w:rsidR="00581F5A" w:rsidRDefault="003A7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Здолбунівській міській територіальній громаді  продовжується реалізація реформи управління публічними інвестиція</w:t>
      </w:r>
      <w:r>
        <w:rPr>
          <w:rFonts w:ascii="Times New Roman" w:eastAsia="Times New Roman" w:hAnsi="Times New Roman" w:cs="Times New Roman"/>
          <w:sz w:val="28"/>
          <w:szCs w:val="28"/>
        </w:rPr>
        <w:t>ми (далі – реформа УПІ), спрямованої на запровадження ефективної системи  середньострокового планування, підготовки, оцінки публічних інвестиційних проектів (далі – проект) та програм публічних інвестицій (далі - програма), формування єдиного проектного по</w:t>
      </w:r>
      <w:r>
        <w:rPr>
          <w:rFonts w:ascii="Times New Roman" w:eastAsia="Times New Roman" w:hAnsi="Times New Roman" w:cs="Times New Roman"/>
          <w:sz w:val="28"/>
          <w:szCs w:val="28"/>
        </w:rPr>
        <w:t>ртфеля публічних інвестицій громади (далі – Єдиний проектний портфель), галузевих (секторальних) проєктних портфелів громади (далі – Галузевий проектний портфель), а також реалізації проектів та програм.</w:t>
      </w:r>
    </w:p>
    <w:p w14:paraId="00000060" w14:textId="77777777" w:rsidR="00581F5A" w:rsidRDefault="003A7912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Середньострокове планування є ключовим етапом реформ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УПІ, оскільки саме під час його формування визначаються основні напрями спрямування публічних коштів у середньостроковій перспективі. </w:t>
      </w:r>
    </w:p>
    <w:p w14:paraId="00000061" w14:textId="77777777" w:rsidR="00581F5A" w:rsidRDefault="003A7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процесі реалізації першого середньострокового плану пріоритетних публічних інвестицій Здолбунівської міської територі</w:t>
      </w:r>
      <w:r>
        <w:rPr>
          <w:rFonts w:ascii="Times New Roman" w:eastAsia="Times New Roman" w:hAnsi="Times New Roman" w:cs="Times New Roman"/>
          <w:sz w:val="28"/>
          <w:szCs w:val="28"/>
        </w:rPr>
        <w:t>альної громади на 2026-2028 роки було забезпечено, зокрема, узгодження пріоритетів публічних інвестицій із документами стратегічного планування на рівні громади, бюджетним плануванням, започатковано формування єдиних підходів до оцінки проектів та програм,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формування Єдиного проектного портфеля та Галузевого проектного портфеля.</w:t>
      </w:r>
    </w:p>
    <w:p w14:paraId="00000062" w14:textId="77777777" w:rsidR="00581F5A" w:rsidRDefault="003A7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Затвердження середньострокового плану пріоритетних публічних інвестицій громади на 2027-2029 роки (далі – СПІ 2027-2029) є необхідним кроком для забезпечення безперервності процесу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середньострокового </w:t>
      </w:r>
    </w:p>
    <w:p w14:paraId="00000069" w14:textId="65B5D66D" w:rsidR="00581F5A" w:rsidRDefault="003A7912" w:rsidP="003A7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дії СПІ 2027-2029 включає публічні інвестиції, що спрямовані на реалізацію проектів та програм. Водночас не охоплює компенсації за пошкодження та знищення окремих категорій об’єктів нерухомого майна внаслідок бойових дій, терорист</w:t>
      </w:r>
      <w:r>
        <w:rPr>
          <w:rFonts w:ascii="Times New Roman" w:eastAsia="Times New Roman" w:hAnsi="Times New Roman" w:cs="Times New Roman"/>
          <w:sz w:val="28"/>
          <w:szCs w:val="28"/>
        </w:rPr>
        <w:t>ичних актів і диверсій, спричинених збройною агресією російської федерації проти України, а також гранти, програми підтримки бізнесу, фінансування приватного сектора міжнародними фінансовими організаціями та інші інструменти і форми підтримки бізнесу та гр</w:t>
      </w:r>
      <w:r>
        <w:rPr>
          <w:rFonts w:ascii="Times New Roman" w:eastAsia="Times New Roman" w:hAnsi="Times New Roman" w:cs="Times New Roman"/>
          <w:sz w:val="28"/>
          <w:szCs w:val="28"/>
        </w:rPr>
        <w:t>омадян, які не є публічними інвестиціями у розумінні Бюджетного кодексу України.</w:t>
      </w:r>
    </w:p>
    <w:p w14:paraId="0000006A" w14:textId="77777777" w:rsidR="00581F5A" w:rsidRDefault="003A7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Визначення пріоритетних галузей (секторів) для публічного інвестування та основних напрямів публічного інвестування здійснюється на основі поєднання результатів секторал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ьного аналізу збитків і потреб, оцінки їх впливу на економічну активність та соціальну стабільність, з урахуванням пропозицій (рекомендацій) інвестиційної ради щодо стратегічних пріоритетів здійснення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публічних інвестицій на відповідний середньостроковий п</w:t>
      </w:r>
      <w:r>
        <w:rPr>
          <w:rFonts w:ascii="Times New Roman" w:eastAsia="Times New Roman" w:hAnsi="Times New Roman" w:cs="Times New Roman"/>
          <w:sz w:val="28"/>
          <w:szCs w:val="28"/>
        </w:rPr>
        <w:t>еріод, а також необхідності забезпечення функціонування критичної інфраструктури та відновлення виробничого потенціалу економіки.</w:t>
      </w:r>
    </w:p>
    <w:p w14:paraId="0000006B" w14:textId="77777777" w:rsidR="00581F5A" w:rsidRDefault="00581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6C" w14:textId="77777777" w:rsidR="00581F5A" w:rsidRDefault="003A79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Описова частина</w:t>
      </w:r>
    </w:p>
    <w:p w14:paraId="0000006D" w14:textId="77777777" w:rsidR="00581F5A" w:rsidRDefault="00581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6E" w14:textId="77777777" w:rsidR="00581F5A" w:rsidRDefault="003A7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СПІ 2027-2029 розроблено відділом економічного розвитку та регуляторної політики Здолбунівської міської ради  на підставі пропозицій виконавчих органів та підрозділів Здолбунівської міської ради відповідно до цілей і завдань, визначених документами стратег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ічного планування, у межах орієнтовного граничного сукупного обсягу публічних інвестицій на середньостроковий період, доведеного фінансовим управлінням Здолбунівської міської ради. </w:t>
      </w:r>
    </w:p>
    <w:p w14:paraId="0000006F" w14:textId="77777777" w:rsidR="00581F5A" w:rsidRDefault="003A7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СПІ 2027–2029  структуровано відповідно до оновленої логіки системи управл</w:t>
      </w:r>
      <w:r>
        <w:rPr>
          <w:rFonts w:ascii="Times New Roman" w:eastAsia="Times New Roman" w:hAnsi="Times New Roman" w:cs="Times New Roman"/>
          <w:sz w:val="28"/>
          <w:szCs w:val="28"/>
        </w:rPr>
        <w:t>іння публічними інвестиціями та включає визначення наскрізних стратегічних цілей, пріоритетних галузей (секторів) для публічного інвестування, підсекторів галузей (секторів) для публічного інвестування, основних напрямів публічного інвестування, у тому чис</w:t>
      </w:r>
      <w:r>
        <w:rPr>
          <w:rFonts w:ascii="Times New Roman" w:eastAsia="Times New Roman" w:hAnsi="Times New Roman" w:cs="Times New Roman"/>
          <w:sz w:val="28"/>
          <w:szCs w:val="28"/>
        </w:rPr>
        <w:t>лі за діючими проектами та програмами (за наявності), цільових показників напрямів публічного інвестування, орієнтовний розподіл коштів за рахунок усіх джерел фінансування в розрізі галузей (секторів) для публічного інвестування.</w:t>
      </w:r>
    </w:p>
    <w:p w14:paraId="00000070" w14:textId="77777777" w:rsidR="00581F5A" w:rsidRDefault="00581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1" w14:textId="77777777" w:rsidR="00581F5A" w:rsidRDefault="003A79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Наскрізні стратегічні ціл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 здійснення публічних інвестицій</w:t>
      </w:r>
    </w:p>
    <w:p w14:paraId="00000072" w14:textId="77777777" w:rsidR="00581F5A" w:rsidRDefault="00581F5A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3" w14:textId="77777777" w:rsidR="00581F5A" w:rsidRDefault="003A7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2027-2029 роки наскрізними стратегічними цілями є енергоефективність, цифровізація, реагування на зміни клімату, гендерна рівність та безбар’єрність (у разі можливості їх застосування).</w:t>
      </w:r>
    </w:p>
    <w:p w14:paraId="0000007A" w14:textId="5E84207F" w:rsidR="00581F5A" w:rsidRDefault="003A7912" w:rsidP="003A7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Реалізація цих цілей є фундамент</w:t>
      </w:r>
      <w:r>
        <w:rPr>
          <w:rFonts w:ascii="Times New Roman" w:eastAsia="Times New Roman" w:hAnsi="Times New Roman" w:cs="Times New Roman"/>
          <w:sz w:val="28"/>
          <w:szCs w:val="28"/>
        </w:rPr>
        <w:t>альною умовою сталого розвитку та зміцнення соціальної справедливості. Вона передбачає перехід до раціональної моделі енергоспоживання, цифрову трансформацію управлінських процесів та адаптацію інфраструктури до кліматичних змін. Особлива увага приділяєтьс</w:t>
      </w:r>
      <w:r>
        <w:rPr>
          <w:rFonts w:ascii="Times New Roman" w:eastAsia="Times New Roman" w:hAnsi="Times New Roman" w:cs="Times New Roman"/>
          <w:sz w:val="28"/>
          <w:szCs w:val="28"/>
        </w:rPr>
        <w:t>я створенню безбар’єрного простору, де принципи універсального дизайну та рівності прав гарантують безперешкодний доступ до послуг для всіх верств населення, зокрема осіб з інвалідністю та інших маломобільних груп населення, незалежно від їхньої статі чи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оціального статусу. </w:t>
      </w:r>
    </w:p>
    <w:p w14:paraId="0000007B" w14:textId="77777777" w:rsidR="00581F5A" w:rsidRDefault="00581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C" w14:textId="77777777" w:rsidR="00581F5A" w:rsidRDefault="003A79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Пріоритетні галузі (сектори) для публічного інвестування </w:t>
      </w:r>
    </w:p>
    <w:p w14:paraId="0000007D" w14:textId="77777777" w:rsidR="00581F5A" w:rsidRDefault="00581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E" w14:textId="77777777" w:rsidR="00581F5A" w:rsidRDefault="003A7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Пріоритетні галузі (сектори) для публічного інвестування, що містяться в середньостроковому плані, є ключовими для громади та саме на них спрямовувати муться публічні ін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вестиції на середньостроковий період. </w:t>
      </w:r>
    </w:p>
    <w:p w14:paraId="0000007F" w14:textId="3562DFBE" w:rsidR="00581F5A" w:rsidRDefault="003A7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пріоритетних галузей (секторів) для публічного інвестування 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2027-2029 роках належать: </w:t>
      </w:r>
    </w:p>
    <w:p w14:paraId="00000080" w14:textId="0DDF8487" w:rsidR="003A7912" w:rsidRDefault="003A7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52EBE118" w14:textId="6EB59C58" w:rsidR="00581F5A" w:rsidRDefault="003A7912" w:rsidP="003A7912">
      <w:pPr>
        <w:tabs>
          <w:tab w:val="left" w:pos="3546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83BC445" w14:textId="37E575FD" w:rsidR="003A7912" w:rsidRDefault="003A7912" w:rsidP="003A7912">
      <w:pPr>
        <w:tabs>
          <w:tab w:val="left" w:pos="354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8EC4C77" w14:textId="1C3E5E1B" w:rsidR="003A7912" w:rsidRDefault="003A7912" w:rsidP="003A7912">
      <w:pPr>
        <w:tabs>
          <w:tab w:val="left" w:pos="354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FACE270" w14:textId="77777777" w:rsidR="003A7912" w:rsidRPr="003A7912" w:rsidRDefault="003A7912" w:rsidP="003A7912">
      <w:pPr>
        <w:tabs>
          <w:tab w:val="left" w:pos="3546"/>
        </w:tabs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6"/>
        <w:tblW w:w="9525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5"/>
        <w:gridCol w:w="5160"/>
      </w:tblGrid>
      <w:tr w:rsidR="00581F5A" w14:paraId="2DE193FA" w14:textId="77777777">
        <w:trPr>
          <w:trHeight w:val="360"/>
        </w:trPr>
        <w:tc>
          <w:tcPr>
            <w:tcW w:w="4365" w:type="dxa"/>
          </w:tcPr>
          <w:p w14:paraId="00000081" w14:textId="77777777" w:rsidR="00581F5A" w:rsidRDefault="003A7912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Галузь (сектор) для публічного інвестування</w:t>
            </w:r>
          </w:p>
        </w:tc>
        <w:tc>
          <w:tcPr>
            <w:tcW w:w="5160" w:type="dxa"/>
          </w:tcPr>
          <w:p w14:paraId="00000082" w14:textId="77777777" w:rsidR="00581F5A" w:rsidRDefault="003A7912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 структурного підрозділу, відповідального за галузь для публічного інвестування</w:t>
            </w:r>
          </w:p>
        </w:tc>
      </w:tr>
      <w:tr w:rsidR="00581F5A" w14:paraId="41F6A707" w14:textId="77777777">
        <w:trPr>
          <w:trHeight w:val="345"/>
        </w:trPr>
        <w:tc>
          <w:tcPr>
            <w:tcW w:w="4365" w:type="dxa"/>
          </w:tcPr>
          <w:p w14:paraId="00000083" w14:textId="77777777" w:rsidR="00581F5A" w:rsidRDefault="003A7912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Муніципальна  інфраструктура  та  послуги</w:t>
            </w:r>
          </w:p>
        </w:tc>
        <w:tc>
          <w:tcPr>
            <w:tcW w:w="5160" w:type="dxa"/>
            <w:shd w:val="clear" w:color="auto" w:fill="auto"/>
          </w:tcPr>
          <w:p w14:paraId="00000084" w14:textId="13FEED28" w:rsidR="00581F5A" w:rsidRPr="003A7912" w:rsidRDefault="003A7912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відділ з питань комунального господарства, благоустрою та екології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  <w:lang w:val="uk-UA"/>
              </w:rPr>
              <w:t xml:space="preserve"> Здолбунівської міської ради</w:t>
            </w:r>
          </w:p>
        </w:tc>
      </w:tr>
      <w:tr w:rsidR="00581F5A" w14:paraId="2E727CC7" w14:textId="77777777">
        <w:trPr>
          <w:trHeight w:val="651"/>
        </w:trPr>
        <w:tc>
          <w:tcPr>
            <w:tcW w:w="4365" w:type="dxa"/>
          </w:tcPr>
          <w:p w14:paraId="00000085" w14:textId="77777777" w:rsidR="00581F5A" w:rsidRDefault="003A7912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Довкілля</w:t>
            </w:r>
          </w:p>
        </w:tc>
        <w:tc>
          <w:tcPr>
            <w:tcW w:w="5160" w:type="dxa"/>
            <w:shd w:val="clear" w:color="auto" w:fill="auto"/>
          </w:tcPr>
          <w:p w14:paraId="00000086" w14:textId="63F077DD" w:rsidR="00581F5A" w:rsidRDefault="003A7912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відділ з питань комунального господарства, благоустрою та екології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  <w:lang w:val="uk-UA"/>
              </w:rPr>
              <w:t>Здолбунівської міської ради</w:t>
            </w:r>
          </w:p>
        </w:tc>
      </w:tr>
      <w:tr w:rsidR="00581F5A" w14:paraId="7929B1D6" w14:textId="77777777">
        <w:trPr>
          <w:trHeight w:val="345"/>
        </w:trPr>
        <w:tc>
          <w:tcPr>
            <w:tcW w:w="4365" w:type="dxa"/>
          </w:tcPr>
          <w:p w14:paraId="00000087" w14:textId="77777777" w:rsidR="00581F5A" w:rsidRDefault="003A7912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 трансформація держави та суспільства</w:t>
            </w:r>
          </w:p>
        </w:tc>
        <w:tc>
          <w:tcPr>
            <w:tcW w:w="5160" w:type="dxa"/>
            <w:shd w:val="clear" w:color="auto" w:fill="auto"/>
          </w:tcPr>
          <w:p w14:paraId="00000088" w14:textId="199B7D80" w:rsidR="00581F5A" w:rsidRDefault="003A7912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</w:pPr>
            <w:bookmarkStart w:id="0" w:name="_heading=h.p9d5hu7ckbe" w:colFirst="0" w:colLast="0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Відділ забезпечення надання адміністративних послуг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  <w:lang w:val="uk-UA"/>
              </w:rPr>
              <w:t>Здолбунівської міської ради</w:t>
            </w:r>
          </w:p>
        </w:tc>
      </w:tr>
      <w:tr w:rsidR="00581F5A" w14:paraId="4F984CE3" w14:textId="77777777">
        <w:trPr>
          <w:trHeight w:val="165"/>
        </w:trPr>
        <w:tc>
          <w:tcPr>
            <w:tcW w:w="4365" w:type="dxa"/>
          </w:tcPr>
          <w:p w14:paraId="00000089" w14:textId="77777777" w:rsidR="00581F5A" w:rsidRDefault="003A7912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Освіта та наука</w:t>
            </w:r>
          </w:p>
        </w:tc>
        <w:tc>
          <w:tcPr>
            <w:tcW w:w="5160" w:type="dxa"/>
            <w:shd w:val="clear" w:color="auto" w:fill="auto"/>
          </w:tcPr>
          <w:p w14:paraId="0000008A" w14:textId="5EEC380E" w:rsidR="00581F5A" w:rsidRDefault="003A7912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управління з гуманітарних питань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  <w:lang w:val="uk-UA"/>
              </w:rPr>
              <w:t>Здолбунівської міської ради</w:t>
            </w:r>
          </w:p>
        </w:tc>
      </w:tr>
      <w:tr w:rsidR="00581F5A" w14:paraId="20CA7AE8" w14:textId="77777777">
        <w:trPr>
          <w:trHeight w:val="195"/>
        </w:trPr>
        <w:tc>
          <w:tcPr>
            <w:tcW w:w="4365" w:type="dxa"/>
          </w:tcPr>
          <w:p w14:paraId="0000008B" w14:textId="77777777" w:rsidR="00581F5A" w:rsidRDefault="003A7912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Охорона здоров'я</w:t>
            </w:r>
          </w:p>
        </w:tc>
        <w:tc>
          <w:tcPr>
            <w:tcW w:w="5160" w:type="dxa"/>
            <w:shd w:val="clear" w:color="auto" w:fill="auto"/>
          </w:tcPr>
          <w:p w14:paraId="0000008C" w14:textId="5CE4318F" w:rsidR="00581F5A" w:rsidRDefault="003A7912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управління з гуманітарних питань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  <w:lang w:val="uk-UA"/>
              </w:rPr>
              <w:t>Здолбунівської міської ради</w:t>
            </w:r>
          </w:p>
        </w:tc>
      </w:tr>
      <w:tr w:rsidR="00581F5A" w14:paraId="12D9D2FA" w14:textId="77777777">
        <w:trPr>
          <w:trHeight w:val="255"/>
        </w:trPr>
        <w:tc>
          <w:tcPr>
            <w:tcW w:w="4365" w:type="dxa"/>
          </w:tcPr>
          <w:p w14:paraId="0000008D" w14:textId="77777777" w:rsidR="00581F5A" w:rsidRDefault="003A7912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Соціальна сфера</w:t>
            </w:r>
          </w:p>
        </w:tc>
        <w:tc>
          <w:tcPr>
            <w:tcW w:w="5160" w:type="dxa"/>
            <w:shd w:val="clear" w:color="auto" w:fill="auto"/>
          </w:tcPr>
          <w:p w14:paraId="0000008E" w14:textId="0848E3F7" w:rsidR="00581F5A" w:rsidRDefault="003A7912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відділ соціальних гарантій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  <w:lang w:val="uk-UA"/>
              </w:rPr>
              <w:t>Здолбунівської міської ради</w:t>
            </w:r>
          </w:p>
        </w:tc>
      </w:tr>
    </w:tbl>
    <w:p w14:paraId="0000008F" w14:textId="77777777" w:rsidR="00581F5A" w:rsidRDefault="00581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00000090" w14:textId="77777777" w:rsidR="00581F5A" w:rsidRDefault="003A79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Підсектори галузей (секторів) для публічного інвестування </w:t>
      </w:r>
    </w:p>
    <w:p w14:paraId="00000091" w14:textId="77777777" w:rsidR="00581F5A" w:rsidRDefault="00581F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00000092" w14:textId="77777777" w:rsidR="00581F5A" w:rsidRDefault="003A7912">
      <w:pPr>
        <w:shd w:val="clear" w:color="auto" w:fill="FFFFFF"/>
        <w:spacing w:after="0" w:line="240" w:lineRule="auto"/>
        <w:ind w:right="-90"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Підсектори галузей (секторів) для публічного інвестування формуються у межах кожної пріоритетної галузі (сектора) для публічного інвестування  та є структурними складовими місцевої політики в межах відповідної галузі, що випливають із компетенції підрозділ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ів органу місцевого самоврядування, мають власне нормативно-правове регулювання і кореспондуються з конкретними цілями документів стратегічного планування.</w:t>
      </w:r>
    </w:p>
    <w:p w14:paraId="00000093" w14:textId="77777777" w:rsidR="00581F5A" w:rsidRDefault="003A7912">
      <w:pPr>
        <w:pStyle w:val="3"/>
        <w:keepNext w:val="0"/>
        <w:shd w:val="clear" w:color="auto" w:fill="FFFFFF"/>
        <w:spacing w:before="0" w:after="0"/>
        <w:ind w:right="-90" w:firstLine="566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bookmarkStart w:id="1" w:name="_heading=h.57ff4cfdx9jx" w:colFirst="0" w:colLast="0"/>
      <w:bookmarkEnd w:id="1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Підсектори  галузей (секторів) для публічного інвестування дозволяють диференціювати галузь (сектор)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для публічного інвестування на відповідні складові, в яких будуть здійснюватися публічні  інвестиції, та допомагають зосередитись на специфічних потребах і можливостях, що існують у конкретних сферах.</w:t>
      </w:r>
    </w:p>
    <w:p w14:paraId="00000094" w14:textId="77777777" w:rsidR="00581F5A" w:rsidRDefault="003A7912" w:rsidP="003A7912">
      <w:pPr>
        <w:spacing w:after="160" w:line="259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 СПІ 2027-2029 включено 10 підсекторів в межах 6 галузей  (секторів) для публічного інвестування.</w:t>
      </w:r>
    </w:p>
    <w:p w14:paraId="00000095" w14:textId="77777777" w:rsidR="00581F5A" w:rsidRDefault="00581F5A">
      <w:pPr>
        <w:spacing w:after="160" w:line="259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00000096" w14:textId="77777777" w:rsidR="00581F5A" w:rsidRDefault="00581F5A">
      <w:pPr>
        <w:spacing w:after="160" w:line="259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2"/>
    </w:p>
    <w:p w14:paraId="00000097" w14:textId="77777777" w:rsidR="00581F5A" w:rsidRDefault="00581F5A">
      <w:pPr>
        <w:spacing w:after="160" w:line="259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00000098" w14:textId="77777777" w:rsidR="00581F5A" w:rsidRDefault="003A79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Основні напрями публічного інвестування</w:t>
      </w:r>
    </w:p>
    <w:p w14:paraId="00000099" w14:textId="77777777" w:rsidR="00581F5A" w:rsidRDefault="00581F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0000009A" w14:textId="77777777" w:rsidR="00581F5A" w:rsidRDefault="003A7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Основні напрями публічного інвестування узгоджуються із завданнями документів стратегічного планування, у розрізі галузей (секторів) для публічного інвестування.</w:t>
      </w:r>
    </w:p>
    <w:p w14:paraId="0000009B" w14:textId="77777777" w:rsidR="00581F5A" w:rsidRDefault="003A7912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Напрям публічного інвестування визначає сферу діяльності громади у межах відповідної галузі (с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ектору) для публічного інвестування, у яку спрямовуються публічні кошти для подальшої підготовки 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реалізації проектів та/або програм з метою досягнення відповідного  завдання документа стратегічного планування.</w:t>
      </w:r>
    </w:p>
    <w:p w14:paraId="0000009C" w14:textId="77777777" w:rsidR="00581F5A" w:rsidRDefault="003A7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Структурними підрозділами, відповідальними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за галузі (сектори) для публічного інвестування, було подано до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відділу економічного розвитку та регуляторної політики Здолбунівської міської ради пропозиції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що містили 16 напрямів для публічного інвестування, з яких визначено основними та включено до СП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 2027-2029  16 напрямів  публічного інвестування.</w:t>
      </w:r>
    </w:p>
    <w:p w14:paraId="0000009D" w14:textId="77777777" w:rsidR="00581F5A" w:rsidRDefault="00581F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0000009E" w14:textId="77777777" w:rsidR="00581F5A" w:rsidRDefault="003A79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Фінансова структура публічних інвестицій</w:t>
      </w:r>
    </w:p>
    <w:p w14:paraId="0000009F" w14:textId="77777777" w:rsidR="00581F5A" w:rsidRDefault="00581F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000000A0" w14:textId="77777777" w:rsidR="00581F5A" w:rsidRDefault="003A7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Орієнтовний граничний сукупний обсяг публічних інвестицій на 2027 – 2029 роки в розрізі джерел фінансового забезпечення та за роками становить:</w:t>
      </w:r>
    </w:p>
    <w:p w14:paraId="000000A1" w14:textId="77777777" w:rsidR="00581F5A" w:rsidRDefault="003A7912">
      <w:pPr>
        <w:widowControl w:val="0"/>
        <w:spacing w:after="0" w:line="240" w:lineRule="auto"/>
        <w:ind w:right="-7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грн.</w:t>
      </w:r>
    </w:p>
    <w:tbl>
      <w:tblPr>
        <w:tblStyle w:val="af7"/>
        <w:tblW w:w="9690" w:type="dxa"/>
        <w:tblInd w:w="-15" w:type="dxa"/>
        <w:tblLayout w:type="fixed"/>
        <w:tblLook w:val="0600" w:firstRow="0" w:lastRow="0" w:firstColumn="0" w:lastColumn="0" w:noHBand="1" w:noVBand="1"/>
      </w:tblPr>
      <w:tblGrid>
        <w:gridCol w:w="1995"/>
        <w:gridCol w:w="1830"/>
        <w:gridCol w:w="1785"/>
        <w:gridCol w:w="1740"/>
        <w:gridCol w:w="2340"/>
      </w:tblGrid>
      <w:tr w:rsidR="00581F5A" w14:paraId="497F793E" w14:textId="77777777">
        <w:trPr>
          <w:trHeight w:val="30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2" w14:textId="77777777" w:rsidR="00581F5A" w:rsidRDefault="003A7912">
            <w:pPr>
              <w:widowControl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Показник</w:t>
            </w:r>
          </w:p>
        </w:tc>
        <w:tc>
          <w:tcPr>
            <w:tcW w:w="18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3" w14:textId="77777777" w:rsidR="00581F5A" w:rsidRDefault="003A7912">
            <w:pPr>
              <w:widowControl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2027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(прогноз)</w:t>
            </w:r>
          </w:p>
        </w:tc>
        <w:tc>
          <w:tcPr>
            <w:tcW w:w="17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4" w14:textId="77777777" w:rsidR="00581F5A" w:rsidRDefault="003A7912">
            <w:pPr>
              <w:widowControl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2028 (прогноз)</w:t>
            </w: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5" w14:textId="77777777" w:rsidR="00581F5A" w:rsidRDefault="003A7912">
            <w:pPr>
              <w:widowControl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2029 (прогноз)</w:t>
            </w:r>
          </w:p>
        </w:tc>
        <w:tc>
          <w:tcPr>
            <w:tcW w:w="23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6" w14:textId="77777777" w:rsidR="00581F5A" w:rsidRDefault="003A7912">
            <w:pPr>
              <w:widowControl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2027-2029 (прогноз)</w:t>
            </w:r>
          </w:p>
        </w:tc>
      </w:tr>
      <w:tr w:rsidR="00581F5A" w14:paraId="3A5B10BF" w14:textId="77777777">
        <w:trPr>
          <w:trHeight w:val="540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7" w14:textId="77777777" w:rsidR="00581F5A" w:rsidRDefault="003A7912">
            <w:pPr>
              <w:widowControl w:val="0"/>
              <w:spacing w:after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Кошти місцевого бюджету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0A8" w14:textId="77777777" w:rsidR="00581F5A" w:rsidRDefault="003A7912">
            <w:pPr>
              <w:widowControl w:val="0"/>
              <w:spacing w:before="120" w:after="120" w:line="259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35 000 000,00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0A9" w14:textId="77777777" w:rsidR="00581F5A" w:rsidRDefault="003A7912">
            <w:pPr>
              <w:widowControl w:val="0"/>
              <w:spacing w:before="120" w:after="120" w:line="259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40 000 000,00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0AA" w14:textId="77777777" w:rsidR="00581F5A" w:rsidRDefault="003A7912">
            <w:pPr>
              <w:widowControl w:val="0"/>
              <w:spacing w:before="120" w:after="120" w:line="259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45 000 000,00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0AB" w14:textId="77777777" w:rsidR="00581F5A" w:rsidRDefault="003A7912">
            <w:pPr>
              <w:widowControl w:val="0"/>
              <w:spacing w:before="120" w:after="12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120 000 000,00</w:t>
            </w:r>
          </w:p>
        </w:tc>
      </w:tr>
      <w:tr w:rsidR="00581F5A" w14:paraId="529E4554" w14:textId="77777777">
        <w:trPr>
          <w:trHeight w:val="64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C" w14:textId="77777777" w:rsidR="00581F5A" w:rsidRDefault="00581F5A">
            <w:pPr>
              <w:widowControl w:val="0"/>
              <w:spacing w:after="0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00000AD" w14:textId="77777777" w:rsidR="00581F5A" w:rsidRDefault="003A7912">
            <w:pPr>
              <w:widowControl w:val="0"/>
              <w:spacing w:after="0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0AE" w14:textId="77777777" w:rsidR="00581F5A" w:rsidRDefault="003A7912">
            <w:pPr>
              <w:widowControl w:val="0"/>
              <w:spacing w:before="120" w:after="120" w:line="259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35 000 000,00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0AF" w14:textId="77777777" w:rsidR="00581F5A" w:rsidRDefault="003A7912">
            <w:pPr>
              <w:widowControl w:val="0"/>
              <w:spacing w:before="120" w:after="120" w:line="259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40 000 000,00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0B0" w14:textId="77777777" w:rsidR="00581F5A" w:rsidRDefault="003A7912">
            <w:pPr>
              <w:widowControl w:val="0"/>
              <w:spacing w:before="120" w:after="120" w:line="259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45 000 000,00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0B1" w14:textId="77777777" w:rsidR="00581F5A" w:rsidRDefault="003A7912">
            <w:pPr>
              <w:widowControl w:val="0"/>
              <w:spacing w:before="120" w:after="12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120 000 000,00</w:t>
            </w:r>
          </w:p>
        </w:tc>
      </w:tr>
    </w:tbl>
    <w:p w14:paraId="000000B2" w14:textId="77777777" w:rsidR="00581F5A" w:rsidRDefault="00581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000000B3" w14:textId="77777777" w:rsidR="00581F5A" w:rsidRDefault="003A7912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Розподіл орієнтовного граничного сукупного обсягу публічних інвестицій на 2027, 2028, 2029 роки на сектори (галузі) для публічного інвестування в межах доведеного фінансовим управлінням  орієнтовного граничного сукупного обсягу публічних інвестицій на сере</w:t>
      </w:r>
      <w:r>
        <w:rPr>
          <w:rFonts w:ascii="Times New Roman" w:eastAsia="Times New Roman" w:hAnsi="Times New Roman" w:cs="Times New Roman"/>
          <w:sz w:val="28"/>
          <w:szCs w:val="28"/>
        </w:rPr>
        <w:t>дньостроковий період має таку структуру:</w:t>
      </w:r>
    </w:p>
    <w:p w14:paraId="000000B4" w14:textId="77777777" w:rsidR="00581F5A" w:rsidRDefault="00581F5A">
      <w:pPr>
        <w:widowControl w:val="0"/>
        <w:spacing w:after="0" w:line="240" w:lineRule="auto"/>
        <w:ind w:right="580"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000000B5" w14:textId="77777777" w:rsidR="00581F5A" w:rsidRDefault="003A7912">
      <w:pPr>
        <w:widowControl w:val="0"/>
        <w:spacing w:after="0" w:line="240" w:lineRule="auto"/>
        <w:ind w:right="580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tbl>
      <w:tblPr>
        <w:tblStyle w:val="af8"/>
        <w:tblW w:w="9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5"/>
        <w:gridCol w:w="1950"/>
        <w:gridCol w:w="1920"/>
        <w:gridCol w:w="1860"/>
        <w:gridCol w:w="2010"/>
      </w:tblGrid>
      <w:tr w:rsidR="00581F5A" w14:paraId="1CD68E78" w14:textId="77777777">
        <w:tc>
          <w:tcPr>
            <w:tcW w:w="1815" w:type="dxa"/>
          </w:tcPr>
          <w:p w14:paraId="000000B6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Галузь (сектор)</w:t>
            </w:r>
          </w:p>
        </w:tc>
        <w:tc>
          <w:tcPr>
            <w:tcW w:w="1950" w:type="dxa"/>
          </w:tcPr>
          <w:p w14:paraId="000000B7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Граничний розподіл на 2027 рік</w:t>
            </w:r>
          </w:p>
        </w:tc>
        <w:tc>
          <w:tcPr>
            <w:tcW w:w="1920" w:type="dxa"/>
          </w:tcPr>
          <w:p w14:paraId="000000B8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Граничний розподіл на 2028 рік</w:t>
            </w:r>
          </w:p>
        </w:tc>
        <w:tc>
          <w:tcPr>
            <w:tcW w:w="1860" w:type="dxa"/>
          </w:tcPr>
          <w:p w14:paraId="000000B9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Граничний розподіл на 2029 рік</w:t>
            </w:r>
          </w:p>
        </w:tc>
        <w:tc>
          <w:tcPr>
            <w:tcW w:w="2010" w:type="dxa"/>
          </w:tcPr>
          <w:p w14:paraId="000000BA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bookmarkStart w:id="3" w:name="_heading=h.luatprl8unrz" w:colFirst="0" w:colLast="0"/>
            <w:bookmarkEnd w:id="3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Граничний розподіл на середньостроковий період</w:t>
            </w:r>
          </w:p>
        </w:tc>
      </w:tr>
      <w:tr w:rsidR="00581F5A" w14:paraId="6E245B19" w14:textId="77777777">
        <w:tc>
          <w:tcPr>
            <w:tcW w:w="1815" w:type="dxa"/>
          </w:tcPr>
          <w:p w14:paraId="000000BB" w14:textId="77777777" w:rsidR="00581F5A" w:rsidRDefault="003A7912">
            <w:pPr>
              <w:widowControl w:val="0"/>
              <w:spacing w:before="120" w:after="12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Муніци-  пальна інфраст- руктура 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послуги</w:t>
            </w:r>
          </w:p>
        </w:tc>
        <w:tc>
          <w:tcPr>
            <w:tcW w:w="1950" w:type="dxa"/>
          </w:tcPr>
          <w:p w14:paraId="000000BC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4 200 000,00</w:t>
            </w:r>
          </w:p>
        </w:tc>
        <w:tc>
          <w:tcPr>
            <w:tcW w:w="1920" w:type="dxa"/>
          </w:tcPr>
          <w:p w14:paraId="000000BD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4 800 000,00</w:t>
            </w:r>
          </w:p>
        </w:tc>
        <w:tc>
          <w:tcPr>
            <w:tcW w:w="1860" w:type="dxa"/>
          </w:tcPr>
          <w:p w14:paraId="000000BE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5 400 000,00</w:t>
            </w:r>
          </w:p>
        </w:tc>
        <w:tc>
          <w:tcPr>
            <w:tcW w:w="2010" w:type="dxa"/>
          </w:tcPr>
          <w:p w14:paraId="000000BF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14 400 000,00</w:t>
            </w:r>
          </w:p>
        </w:tc>
      </w:tr>
      <w:tr w:rsidR="00581F5A" w14:paraId="03C7AF31" w14:textId="77777777">
        <w:tc>
          <w:tcPr>
            <w:tcW w:w="1815" w:type="dxa"/>
          </w:tcPr>
          <w:p w14:paraId="000000C0" w14:textId="77777777" w:rsidR="00581F5A" w:rsidRDefault="003A7912">
            <w:pPr>
              <w:widowControl w:val="0"/>
              <w:spacing w:before="120" w:after="12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Довкілля</w:t>
            </w:r>
          </w:p>
        </w:tc>
        <w:tc>
          <w:tcPr>
            <w:tcW w:w="1950" w:type="dxa"/>
          </w:tcPr>
          <w:p w14:paraId="000000C1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500 000,00</w:t>
            </w:r>
          </w:p>
        </w:tc>
        <w:tc>
          <w:tcPr>
            <w:tcW w:w="1920" w:type="dxa"/>
          </w:tcPr>
          <w:p w14:paraId="000000C2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571 429,00</w:t>
            </w:r>
          </w:p>
        </w:tc>
        <w:tc>
          <w:tcPr>
            <w:tcW w:w="1860" w:type="dxa"/>
          </w:tcPr>
          <w:p w14:paraId="000000C3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642 857,00</w:t>
            </w:r>
          </w:p>
        </w:tc>
        <w:tc>
          <w:tcPr>
            <w:tcW w:w="2010" w:type="dxa"/>
          </w:tcPr>
          <w:p w14:paraId="000000C4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1 714 286,00</w:t>
            </w:r>
          </w:p>
        </w:tc>
      </w:tr>
      <w:tr w:rsidR="00581F5A" w14:paraId="1E98ADDD" w14:textId="77777777">
        <w:tc>
          <w:tcPr>
            <w:tcW w:w="1815" w:type="dxa"/>
          </w:tcPr>
          <w:p w14:paraId="000000C5" w14:textId="77777777" w:rsidR="00581F5A" w:rsidRDefault="003A7912">
            <w:pPr>
              <w:widowControl w:val="0"/>
              <w:spacing w:before="120" w:after="12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Цифрова трансформація держави та суспільства</w:t>
            </w:r>
          </w:p>
        </w:tc>
        <w:tc>
          <w:tcPr>
            <w:tcW w:w="1950" w:type="dxa"/>
          </w:tcPr>
          <w:p w14:paraId="000000C6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80 000,00</w:t>
            </w:r>
          </w:p>
        </w:tc>
        <w:tc>
          <w:tcPr>
            <w:tcW w:w="1920" w:type="dxa"/>
          </w:tcPr>
          <w:p w14:paraId="000000C7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91 429,00</w:t>
            </w:r>
          </w:p>
        </w:tc>
        <w:tc>
          <w:tcPr>
            <w:tcW w:w="1860" w:type="dxa"/>
          </w:tcPr>
          <w:p w14:paraId="000000C8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102 857,00</w:t>
            </w:r>
          </w:p>
        </w:tc>
        <w:tc>
          <w:tcPr>
            <w:tcW w:w="2010" w:type="dxa"/>
          </w:tcPr>
          <w:p w14:paraId="000000C9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274 286,00</w:t>
            </w:r>
          </w:p>
        </w:tc>
      </w:tr>
      <w:tr w:rsidR="00581F5A" w14:paraId="6252C090" w14:textId="77777777">
        <w:trPr>
          <w:trHeight w:val="530"/>
        </w:trPr>
        <w:tc>
          <w:tcPr>
            <w:tcW w:w="1815" w:type="dxa"/>
          </w:tcPr>
          <w:p w14:paraId="000000CA" w14:textId="77777777" w:rsidR="00581F5A" w:rsidRDefault="003A7912">
            <w:pPr>
              <w:widowControl w:val="0"/>
              <w:spacing w:before="120" w:after="12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Освіта і наука</w:t>
            </w:r>
          </w:p>
        </w:tc>
        <w:tc>
          <w:tcPr>
            <w:tcW w:w="1950" w:type="dxa"/>
          </w:tcPr>
          <w:p w14:paraId="000000CB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23 220 000,00</w:t>
            </w:r>
          </w:p>
        </w:tc>
        <w:tc>
          <w:tcPr>
            <w:tcW w:w="1920" w:type="dxa"/>
          </w:tcPr>
          <w:p w14:paraId="000000CC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26 537 142,00</w:t>
            </w:r>
          </w:p>
        </w:tc>
        <w:tc>
          <w:tcPr>
            <w:tcW w:w="1860" w:type="dxa"/>
          </w:tcPr>
          <w:p w14:paraId="000000CD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29 854 286,00</w:t>
            </w:r>
          </w:p>
        </w:tc>
        <w:tc>
          <w:tcPr>
            <w:tcW w:w="2010" w:type="dxa"/>
          </w:tcPr>
          <w:p w14:paraId="000000CE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79 611 428,00</w:t>
            </w:r>
          </w:p>
        </w:tc>
      </w:tr>
      <w:tr w:rsidR="00581F5A" w14:paraId="1BB246E1" w14:textId="77777777">
        <w:tc>
          <w:tcPr>
            <w:tcW w:w="1815" w:type="dxa"/>
          </w:tcPr>
          <w:p w14:paraId="000000CF" w14:textId="77777777" w:rsidR="00581F5A" w:rsidRDefault="003A7912">
            <w:pPr>
              <w:widowControl w:val="0"/>
              <w:spacing w:before="120" w:after="12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Охорона здоров'я</w:t>
            </w:r>
          </w:p>
        </w:tc>
        <w:tc>
          <w:tcPr>
            <w:tcW w:w="1950" w:type="dxa"/>
          </w:tcPr>
          <w:p w14:paraId="000000D0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2 000 000,00</w:t>
            </w:r>
          </w:p>
        </w:tc>
        <w:tc>
          <w:tcPr>
            <w:tcW w:w="1920" w:type="dxa"/>
          </w:tcPr>
          <w:p w14:paraId="000000D1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2 285 714,00</w:t>
            </w:r>
          </w:p>
        </w:tc>
        <w:tc>
          <w:tcPr>
            <w:tcW w:w="1860" w:type="dxa"/>
          </w:tcPr>
          <w:p w14:paraId="000000D2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2 571 429,00</w:t>
            </w:r>
          </w:p>
        </w:tc>
        <w:tc>
          <w:tcPr>
            <w:tcW w:w="2010" w:type="dxa"/>
          </w:tcPr>
          <w:p w14:paraId="000000D3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6 857 143,00</w:t>
            </w:r>
          </w:p>
        </w:tc>
      </w:tr>
      <w:tr w:rsidR="00581F5A" w14:paraId="2155F52A" w14:textId="77777777">
        <w:tc>
          <w:tcPr>
            <w:tcW w:w="1815" w:type="dxa"/>
          </w:tcPr>
          <w:p w14:paraId="000000D4" w14:textId="77777777" w:rsidR="00581F5A" w:rsidRDefault="003A7912">
            <w:pPr>
              <w:widowControl w:val="0"/>
              <w:spacing w:before="120" w:after="12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Соціальна сфера</w:t>
            </w:r>
          </w:p>
        </w:tc>
        <w:tc>
          <w:tcPr>
            <w:tcW w:w="1950" w:type="dxa"/>
          </w:tcPr>
          <w:p w14:paraId="000000D5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5 000 000,00</w:t>
            </w:r>
          </w:p>
        </w:tc>
        <w:tc>
          <w:tcPr>
            <w:tcW w:w="1920" w:type="dxa"/>
          </w:tcPr>
          <w:p w14:paraId="000000D6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5 714 286,00</w:t>
            </w:r>
          </w:p>
        </w:tc>
        <w:tc>
          <w:tcPr>
            <w:tcW w:w="1860" w:type="dxa"/>
          </w:tcPr>
          <w:p w14:paraId="000000D7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6 428 571,00</w:t>
            </w:r>
          </w:p>
        </w:tc>
        <w:tc>
          <w:tcPr>
            <w:tcW w:w="2010" w:type="dxa"/>
          </w:tcPr>
          <w:p w14:paraId="000000D8" w14:textId="77777777" w:rsidR="00581F5A" w:rsidRDefault="003A791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17 142 857,00</w:t>
            </w:r>
          </w:p>
        </w:tc>
      </w:tr>
      <w:tr w:rsidR="00581F5A" w14:paraId="79AB1469" w14:textId="77777777">
        <w:tc>
          <w:tcPr>
            <w:tcW w:w="1815" w:type="dxa"/>
            <w:vAlign w:val="bottom"/>
          </w:tcPr>
          <w:p w14:paraId="000000D9" w14:textId="77777777" w:rsidR="00581F5A" w:rsidRDefault="003A7912">
            <w:pPr>
              <w:widowControl w:val="0"/>
              <w:spacing w:before="120" w:after="120"/>
              <w:ind w:firstLine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Загальний результат</w:t>
            </w:r>
          </w:p>
        </w:tc>
        <w:tc>
          <w:tcPr>
            <w:tcW w:w="1950" w:type="dxa"/>
            <w:vAlign w:val="bottom"/>
          </w:tcPr>
          <w:p w14:paraId="000000DA" w14:textId="77777777" w:rsidR="00581F5A" w:rsidRDefault="003A7912">
            <w:pPr>
              <w:widowControl w:val="0"/>
              <w:spacing w:before="120" w:after="12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35 000 000,00</w:t>
            </w:r>
          </w:p>
        </w:tc>
        <w:tc>
          <w:tcPr>
            <w:tcW w:w="1920" w:type="dxa"/>
            <w:vAlign w:val="bottom"/>
          </w:tcPr>
          <w:p w14:paraId="000000DB" w14:textId="77777777" w:rsidR="00581F5A" w:rsidRDefault="003A7912">
            <w:pPr>
              <w:widowControl w:val="0"/>
              <w:spacing w:before="120" w:after="12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40 000 000,00</w:t>
            </w:r>
          </w:p>
        </w:tc>
        <w:tc>
          <w:tcPr>
            <w:tcW w:w="1860" w:type="dxa"/>
            <w:vAlign w:val="bottom"/>
          </w:tcPr>
          <w:p w14:paraId="000000DC" w14:textId="77777777" w:rsidR="00581F5A" w:rsidRDefault="003A7912">
            <w:pPr>
              <w:widowControl w:val="0"/>
              <w:spacing w:before="120" w:after="12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45 000 000,00</w:t>
            </w:r>
          </w:p>
        </w:tc>
        <w:tc>
          <w:tcPr>
            <w:tcW w:w="2010" w:type="dxa"/>
            <w:vAlign w:val="bottom"/>
          </w:tcPr>
          <w:p w14:paraId="000000DD" w14:textId="77777777" w:rsidR="00581F5A" w:rsidRDefault="003A7912">
            <w:pPr>
              <w:widowControl w:val="0"/>
              <w:spacing w:before="120" w:after="12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120 000 000,00</w:t>
            </w:r>
          </w:p>
        </w:tc>
      </w:tr>
    </w:tbl>
    <w:p w14:paraId="000000DE" w14:textId="77777777" w:rsidR="00581F5A" w:rsidRDefault="00581F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000000DF" w14:textId="77777777" w:rsidR="00581F5A" w:rsidRDefault="003A7912">
      <w:pPr>
        <w:spacing w:after="0" w:line="240" w:lineRule="auto"/>
        <w:ind w:left="570" w:right="580"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Підсумки та перспективи</w:t>
      </w:r>
    </w:p>
    <w:p w14:paraId="000000E0" w14:textId="77777777" w:rsidR="00581F5A" w:rsidRDefault="003A7912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Середньостроковий  план  є документом  місцевого рівня, що  формує основу  для  якісно  нового  підходу  до  управління  публічними інвестиціями та спрямованим на забезпечення відновлення, модернізації та сталого розвитку громадив у</w:t>
      </w:r>
      <w:r>
        <w:rPr>
          <w:rFonts w:ascii="Times New Roman" w:eastAsia="Times New Roman" w:hAnsi="Times New Roman" w:cs="Times New Roman"/>
          <w:sz w:val="28"/>
          <w:szCs w:val="28"/>
        </w:rPr>
        <w:t>мовах воєнних викликів і післявоєнної трансформації.</w:t>
      </w:r>
    </w:p>
    <w:p w14:paraId="000000E1" w14:textId="77777777" w:rsidR="00581F5A" w:rsidRDefault="003A7912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Визначення  наскрізних  стратегічних  цілей,  узгодження  з  наявними стратегічними документами, продовження та завершення розпочатих проєктів і програм,  а  також  закріплення  пріоритетних  галузей  (с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екторів)  і  основних напрямів  публічного  інвестування  забезпечують  спрямування  ресурсів  на реалізацію ключових пріоритетів розвитку громади. Це сприятиме ефективному використанню як попередньо вкладених, так і поточних публічних інвестицій, а також </w:t>
      </w:r>
      <w:r>
        <w:rPr>
          <w:rFonts w:ascii="Times New Roman" w:eastAsia="Times New Roman" w:hAnsi="Times New Roman" w:cs="Times New Roman"/>
          <w:sz w:val="28"/>
          <w:szCs w:val="28"/>
        </w:rPr>
        <w:t>створить чітке розуміння пріоритетних сфер, що потребують державної підтримки у середньостроковому періоді.</w:t>
      </w:r>
    </w:p>
    <w:p w14:paraId="000000E2" w14:textId="77777777" w:rsidR="00581F5A" w:rsidRDefault="003A7912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Визначення  напрямів  публічного  інвестування  відповідних  галузей (секторів)  для  публічного  інвестування  має  ключове  значення  для  подальш</w:t>
      </w:r>
      <w:r>
        <w:rPr>
          <w:rFonts w:ascii="Times New Roman" w:eastAsia="Times New Roman" w:hAnsi="Times New Roman" w:cs="Times New Roman"/>
          <w:sz w:val="28"/>
          <w:szCs w:val="28"/>
        </w:rPr>
        <w:t>ої підготовки,  оцінки  проектів  та  програм,  а  також  формування  єдиного проектного портфеля публічних інвестицій .</w:t>
      </w:r>
    </w:p>
    <w:p w14:paraId="000000E3" w14:textId="77777777" w:rsidR="00581F5A" w:rsidRDefault="003A7912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Підготовка  проектів  та  програм  передбачає  обов’язкове  визначення напряму  публічного  інвестування  у  відповідній  галузі  (сект</w:t>
      </w:r>
      <w:r>
        <w:rPr>
          <w:rFonts w:ascii="Times New Roman" w:eastAsia="Times New Roman" w:hAnsi="Times New Roman" w:cs="Times New Roman"/>
          <w:sz w:val="28"/>
          <w:szCs w:val="28"/>
        </w:rPr>
        <w:t>орі),  з  яким пов’язаний  проект  чи  програма,  а  також  узгодження  мети  та  цілей  проекту  з таким напрямом.</w:t>
      </w:r>
    </w:p>
    <w:p w14:paraId="000000E4" w14:textId="77777777" w:rsidR="00581F5A" w:rsidRDefault="00581F5A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5" w14:textId="77777777" w:rsidR="00581F5A" w:rsidRDefault="00581F5A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6" w14:textId="77777777" w:rsidR="00581F5A" w:rsidRDefault="00581F5A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7" w14:textId="77777777" w:rsidR="00581F5A" w:rsidRDefault="00581F5A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8" w14:textId="77777777" w:rsidR="00581F5A" w:rsidRDefault="00581F5A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9" w14:textId="77777777" w:rsidR="00581F5A" w:rsidRDefault="003A7912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Оцінка  проектів  та  програм  включає  оцінку  відповідності  (скринінг), галузеву  (секторальну)  експертну  оцінку  та  експертну  о</w:t>
      </w:r>
      <w:r>
        <w:rPr>
          <w:rFonts w:ascii="Times New Roman" w:eastAsia="Times New Roman" w:hAnsi="Times New Roman" w:cs="Times New Roman"/>
          <w:sz w:val="28"/>
          <w:szCs w:val="28"/>
        </w:rPr>
        <w:t>цінку,  що  передбачає аналіз  ряду  показників,  пов’язаних  із  напрямами  публічного  інвестування відповідних галузей (секторів).</w:t>
      </w:r>
    </w:p>
    <w:p w14:paraId="000000EA" w14:textId="77777777" w:rsidR="00581F5A" w:rsidRDefault="003A791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Важливо зазначити, що лише ті проекти та програми, що відповідають основним напрямам публічного інвестування, визначеним в СПІ 2027-2029 можуть бути включені в Єдиний проектний портфель публічних інвестицій держави та, відповідно, зможуть отримати фінансув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ання за рахунок коштів державного бюджету та/або з наданням державної підтримки. </w:t>
      </w:r>
    </w:p>
    <w:p w14:paraId="000000EB" w14:textId="77777777" w:rsidR="00581F5A" w:rsidRDefault="00581F5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C" w14:textId="77777777" w:rsidR="00581F5A" w:rsidRDefault="00581F5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D" w14:textId="77777777" w:rsidR="00581F5A" w:rsidRDefault="003A7912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Керуюча справами виконкому </w:t>
      </w:r>
    </w:p>
    <w:p w14:paraId="000000EE" w14:textId="77777777" w:rsidR="00581F5A" w:rsidRDefault="003A7912">
      <w:pPr>
        <w:spacing w:after="0" w:line="240" w:lineRule="auto"/>
        <w:ind w:firstLine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Здолбунівської міської ради                                               Валентина КАПІТУЛА</w:t>
      </w:r>
    </w:p>
    <w:p w14:paraId="000000EF" w14:textId="77777777" w:rsidR="00581F5A" w:rsidRDefault="00581F5A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000000F0" w14:textId="77777777" w:rsidR="00581F5A" w:rsidRDefault="00581F5A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sectPr w:rsidR="00581F5A">
      <w:pgSz w:w="11906" w:h="16838"/>
      <w:pgMar w:top="426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74B2B77-2651-4233-BB18-8D5F6FCC1433}"/>
    <w:embedBold r:id="rId2" w:fontKey="{C0136CF9-D222-44F7-9CBD-CCA51188060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837D02AD-E410-4D2F-91E3-5B7F65E356A8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E89A16AD-9AC6-4970-96BA-D6824860CC62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808091D9-086C-485A-B08E-3CB6B8AE70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F5A"/>
    <w:rsid w:val="003A7912"/>
    <w:rsid w:val="0058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51F9"/>
  <w15:docId w15:val="{7FA21104-DDCD-499A-887E-21FA2C83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uk-UA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rPr>
      <w:rFonts w:ascii="Times New Roman" w:eastAsia="Arial Unicode MS" w:hAnsi="Times New Roman" w:cs="Times New Roman"/>
      <w:b/>
      <w:bCs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30">
    <w:name w:val="Заголовок 3 Знак"/>
    <w:rPr>
      <w:rFonts w:ascii="Arial" w:eastAsia="Times New Roman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paragraph" w:styleId="a4">
    <w:name w:val="Body Text"/>
    <w:qFormat/>
    <w:pPr>
      <w:spacing w:after="0" w:line="240" w:lineRule="auto"/>
      <w:jc w:val="both"/>
    </w:pPr>
    <w:rPr>
      <w:rFonts w:ascii="Times New Roman" w:hAnsi="Times New Roman"/>
      <w:sz w:val="28"/>
      <w:szCs w:val="24"/>
      <w:lang w:val="uk-UA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a6">
    <w:name w:val="Подзаголовок Знак"/>
    <w:rPr>
      <w:rFonts w:ascii="Times New Roman" w:eastAsia="Times New Roman" w:hAnsi="Times New Roman" w:cs="Times New Roman"/>
      <w:w w:val="100"/>
      <w:position w:val="-1"/>
      <w:sz w:val="36"/>
      <w:szCs w:val="24"/>
      <w:effect w:val="none"/>
      <w:vertAlign w:val="baseline"/>
      <w:cs w:val="0"/>
      <w:em w:val="none"/>
      <w:lang w:val="uk-UA"/>
    </w:rPr>
  </w:style>
  <w:style w:type="paragraph" w:styleId="a7">
    <w:name w:val="List Paragraph"/>
    <w:pPr>
      <w:ind w:left="720"/>
      <w:contextualSpacing/>
    </w:pPr>
  </w:style>
  <w:style w:type="paragraph" w:styleId="a8">
    <w:name w:val="Balloon Text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a">
    <w:name w:val="Название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/>
    </w:rPr>
  </w:style>
  <w:style w:type="character" w:customStyle="1" w:styleId="ab">
    <w:name w:val="Название Знак"/>
    <w:rPr>
      <w:rFonts w:ascii="Times New Roman" w:hAnsi="Times New Roman"/>
      <w:w w:val="100"/>
      <w:position w:val="-1"/>
      <w:sz w:val="36"/>
      <w:effect w:val="none"/>
      <w:vertAlign w:val="baseline"/>
      <w:cs w:val="0"/>
      <w:em w:val="none"/>
      <w:lang w:val="uk-UA"/>
    </w:r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annotation text"/>
    <w:link w:val="a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Pr>
      <w:position w:val="-1"/>
      <w:lang w:val="ru-RU" w:eastAsia="ru-RU"/>
    </w:rPr>
  </w:style>
  <w:style w:type="character" w:styleId="af0">
    <w:name w:val="annotation reference"/>
    <w:basedOn w:val="a0"/>
    <w:uiPriority w:val="99"/>
    <w:semiHidden/>
    <w:unhideWhenUsed/>
    <w:rPr>
      <w:sz w:val="16"/>
      <w:szCs w:val="16"/>
    </w:r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N7cxm42OqzKSUXBVmUxlzECaqw==">CgMxLjAaJwoBMBIiCiAIBCocCgtBQUFDRnhoZXlZYxAIGgtBQUFDRnhoZXlZYyL1AwoLQUFBQ0Z4aGV5WWMSxgMKC0FBQUNGeGhleVljEgtBQUFDRnhoZXlZYxp4Cgl0ZXh0L2h0bWwSa0A8YSBocmVmPSJtYWlsdG86c2Fuc2FudWNoaW9tQGdtYWlsLmNvbSIgdGFyZ2V0PSJfYmxhbmsiPnNhbnNhbnVjaGlvbUBnbWFpbC5jb208L2E+wqA8YnI+0J/QvtCz0L7QtNC20LXQvdC+IjoKCnRleHQvcGxhaW4SLEBzYW5zYW51Y2hpb21AZ21haWwuY29twqAK0J/QvtCz0L7QtNC20LXQvdC+KhsiFTEwOTQ1MDQzNjExOTAyNTA2MzY1OSgAOAAwhrbTyoE0OIa208qBNEoaCgp0ZXh0L3BsYWluEgzQn9GA0L7RlNC60YJQBFoMNGdiN2xwOTJrc2RicgIgAHgAkgEdChsiFTExMjA1NDg1MDYxODQ4NDQ1NjQ0NigAOACaAQYIABAAGACqAW0Sa0A8YSBocmVmPSJtYWlsdG86c2Fuc2FudWNoaW9tQGdtYWlsLmNvbSIgdGFyZ2V0PSJfYmxhbmsiPnNhbnNhbnVjaGlvbUBnbWFpbC5jb208L2E+wqA8YnI+0J/QvtCz0L7QtNC20LXQvdC+GIa208qBNCCGttPKgTRCD2tpeC5qbjMyMHlmeDE5ejIOaC5reGtlY3AydWp6eTQyDWgucDlkNWh1N2NrYmUyDmguNTdmZjRjZmR4OWp4Mg5oLmx1YXRwcmw4dW5yejgAciExbWd2OUdmWTV2aE9La1dfM19sTVFrSW1QWEpuTUVRMX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7803</Words>
  <Characters>4449</Characters>
  <Application>Microsoft Office Word</Application>
  <DocSecurity>0</DocSecurity>
  <Lines>37</Lines>
  <Paragraphs>24</Paragraphs>
  <ScaleCrop>false</ScaleCrop>
  <Company/>
  <LinksUpToDate>false</LinksUpToDate>
  <CharactersWithSpaces>12228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3</cp:revision>
  <dcterms:created xsi:type="dcterms:W3CDTF">2026-08-13T12:40:00Z</dcterms:created>
  <dcterms:modified xsi:type="dcterms:W3CDTF">2026-08-20T07:37:00Z</dcterms:modified>
</cp:coreProperties>
</file>